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5.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495800" cy="673100"/>
            <wp:effectExtent b="0" l="0" r="0" t="0"/>
            <wp:docPr descr="" id="1" name="Picture"/>
            <a:graphic>
              <a:graphicData uri="http://schemas.openxmlformats.org/drawingml/2006/picture">
                <pic:pic>
                  <pic:nvPicPr>
                    <pic:cNvPr descr="https://knowyourcouncil.vic.gov.au/__data/assets/image/0007/18898/logo-big.png" id="0" name="Picture"/>
                    <pic:cNvPicPr>
                      <a:picLocks noChangeArrowheads="1" noChangeAspect="1"/>
                    </pic:cNvPicPr>
                  </pic:nvPicPr>
                  <pic:blipFill>
                    <a:blip r:embed="rId25"/>
                    <a:stretch>
                      <a:fillRect/>
                    </a:stretch>
                  </pic:blipFill>
                  <pic:spPr bwMode="auto">
                    <a:xfrm>
                      <a:off x="0" y="0"/>
                      <a:ext cx="4495800" cy="673100"/>
                    </a:xfrm>
                    <a:prstGeom prst="rect">
                      <a:avLst/>
                    </a:prstGeom>
                    <a:noFill/>
                    <a:ln w="9525">
                      <a:noFill/>
                      <a:headEnd/>
                      <a:tailEnd/>
                    </a:ln>
                  </pic:spPr>
                </pic:pic>
              </a:graphicData>
            </a:graphic>
          </wp:inline>
        </w:drawing>
      </w:r>
      <w:r>
        <w:t xml:space="preserve"> </w:t>
      </w:r>
      <w:hyperlink r:id="rId26">
        <w:r>
          <w:rPr>
            <w:rStyle w:val="Hyperlink"/>
          </w:rPr>
          <w:t xml:space="preserve">https://knowyourcouncil.vic.gov.au/councils/alpine</w:t>
        </w:r>
      </w:hyperlink>
    </w:p>
    <w:p>
      <w:pPr>
        <w:pStyle w:val="Heading1"/>
      </w:pPr>
      <w:bookmarkStart w:id="27" w:name="alpine-shire"/>
      <w:bookmarkEnd w:id="27"/>
      <w:r>
        <w:t xml:space="preserve">Alpine Shire</w:t>
      </w:r>
    </w:p>
    <w:p>
      <w:pPr>
        <w:pStyle w:val="Heading2"/>
      </w:pPr>
      <w:bookmarkStart w:id="28" w:name="contact-information"/>
      <w:bookmarkEnd w:id="28"/>
      <w:r>
        <w:t xml:space="preserve">Contact Information</w:t>
      </w:r>
    </w:p>
    <w:p>
      <w:pPr>
        <w:pStyle w:val="Compact"/>
        <w:numPr>
          <w:numId w:val="1001"/>
          <w:ilvl w:val="0"/>
        </w:numPr>
      </w:pPr>
      <w:r>
        <w:t xml:space="preserve">Address:</w:t>
      </w:r>
      <w:r>
        <w:t xml:space="preserve"> </w:t>
      </w:r>
      <w:r>
        <w:t xml:space="preserve">2 Churchill Avenue, BRIGHT 3741</w:t>
      </w:r>
    </w:p>
    <w:p>
      <w:pPr>
        <w:pStyle w:val="Compact"/>
        <w:numPr>
          <w:numId w:val="1001"/>
          <w:ilvl w:val="0"/>
        </w:numPr>
      </w:pPr>
      <w:r>
        <w:t xml:space="preserve">Postal:</w:t>
      </w:r>
      <w:r>
        <w:t xml:space="preserve"> </w:t>
      </w:r>
      <w:r>
        <w:t xml:space="preserve">PO Box 139, BRIGHT 3741</w:t>
      </w:r>
    </w:p>
    <w:p>
      <w:pPr>
        <w:pStyle w:val="Compact"/>
        <w:numPr>
          <w:numId w:val="1001"/>
          <w:ilvl w:val="0"/>
        </w:numPr>
      </w:pPr>
      <w:r>
        <w:t xml:space="preserve">Phone:</w:t>
      </w:r>
      <w:r>
        <w:t xml:space="preserve"> </w:t>
      </w:r>
      <w:r>
        <w:t xml:space="preserve">03 5755 0555</w:t>
      </w:r>
    </w:p>
    <w:p>
      <w:pPr>
        <w:pStyle w:val="Compact"/>
        <w:numPr>
          <w:numId w:val="1001"/>
          <w:ilvl w:val="0"/>
        </w:numPr>
      </w:pPr>
      <w:r>
        <w:t xml:space="preserve">Fax:</w:t>
      </w:r>
      <w:r>
        <w:t xml:space="preserve"> </w:t>
      </w:r>
      <w:r>
        <w:t xml:space="preserve">03 5755 1811</w:t>
      </w:r>
    </w:p>
    <w:p>
      <w:pPr>
        <w:pStyle w:val="Compact"/>
        <w:numPr>
          <w:numId w:val="1001"/>
          <w:ilvl w:val="0"/>
        </w:numPr>
      </w:pPr>
      <w:r>
        <w:t xml:space="preserve">Contact:</w:t>
      </w:r>
      <w:r>
        <w:t xml:space="preserve"> </w:t>
      </w:r>
      <w:r>
        <w:t xml:space="preserve"> </w:t>
      </w:r>
      <w:hyperlink r:id="rId29">
        <w:r>
          <w:rPr>
            <w:rStyle w:val="Hyperlink"/>
          </w:rPr>
          <w:t xml:space="preserve">info@alpineshire.vic.gov.au</w:t>
        </w:r>
      </w:hyperlink>
      <w:r>
        <w:t xml:space="preserve"> </w:t>
      </w:r>
    </w:p>
    <w:p>
      <w:pPr>
        <w:pStyle w:val="Compact"/>
        <w:numPr>
          <w:numId w:val="1001"/>
          <w:ilvl w:val="0"/>
        </w:numPr>
      </w:pPr>
      <w:r>
        <w:t xml:space="preserve">Web:</w:t>
      </w:r>
      <w:r>
        <w:t xml:space="preserve"> </w:t>
      </w:r>
      <w:hyperlink r:id="rId30">
        <w:r>
          <w:rPr>
            <w:rStyle w:val="Hyperlink"/>
          </w:rPr>
          <w:t xml:space="preserve">http://www.alpineshire.vic.gov.au</w:t>
        </w:r>
      </w:hyperlink>
    </w:p>
    <w:p>
      <w:pPr>
        <w:pStyle w:val="Compact"/>
        <w:numPr>
          <w:numId w:val="1001"/>
          <w:ilvl w:val="0"/>
        </w:numPr>
      </w:pPr>
      <w:r>
        <w:t xml:space="preserve">Mayor:</w:t>
      </w:r>
      <w:r>
        <w:t xml:space="preserve"> </w:t>
      </w:r>
      <w:r>
        <w:t xml:space="preserve">Cr John Forsyth</w:t>
      </w:r>
    </w:p>
    <w:p>
      <w:pPr>
        <w:pStyle w:val="Compact"/>
        <w:numPr>
          <w:numId w:val="1001"/>
          <w:ilvl w:val="0"/>
        </w:numPr>
      </w:pPr>
      <w:r>
        <w:t xml:space="preserve">CEO:</w:t>
      </w:r>
      <w:r>
        <w:t xml:space="preserve"> </w:t>
      </w:r>
      <w:r>
        <w:t xml:space="preserve">Mr Charlie Bird</w:t>
      </w:r>
    </w:p>
    <w:p>
      <w:pPr>
        <w:pStyle w:val="Compact"/>
        <w:numPr>
          <w:numId w:val="1001"/>
          <w:ilvl w:val="0"/>
        </w:numPr>
      </w:pPr>
      <w:r>
        <w:t xml:space="preserve">Service Seeker:</w:t>
      </w:r>
      <w:r>
        <w:t xml:space="preserve"> </w:t>
      </w:r>
      <w:hyperlink r:id="rId31">
        <w:r>
          <w:rPr>
            <w:rStyle w:val="Hyperlink"/>
          </w:rPr>
          <w:t xml:space="preserve">http://www.alpineshire.vic.gov.au/Page/Page.aspx?Page_Id=1801</w:t>
        </w:r>
      </w:hyperlink>
    </w:p>
    <w:p>
      <w:pPr>
        <w:pStyle w:val="Heading2"/>
      </w:pPr>
      <w:bookmarkStart w:id="32" w:name="profile"/>
      <w:bookmarkEnd w:id="32"/>
      <w:r>
        <w:t xml:space="preserve">Profile</w:t>
      </w:r>
    </w:p>
    <w:p>
      <w:pPr>
        <w:pStyle w:val="FirstParagraph"/>
      </w:pPr>
      <w:r>
        <w:t xml:space="preserve">The Alpine Shire is about 300 km north east of Melbourne and 70 km south of Albury/Wodonga, with a land area covering 4,790 square kilometres.</w:t>
      </w:r>
    </w:p>
    <w:p>
      <w:pPr>
        <w:pStyle w:val="BodyText"/>
      </w:pPr>
      <w:r>
        <w:t xml:space="preserve">About 92% of the shire is public land including parts of the Alpine National Park and all of the Mount Buffalo National Park. </w:t>
      </w:r>
      <w:r>
        <w:t xml:space="preserve">Most of the freehold lands are alluvial flood plains along the Ovens, Kiewa and Buffalo Rivers together with the adjoining gentle slopes and hills.</w:t>
      </w:r>
    </w:p>
    <w:p>
      <w:pPr>
        <w:pStyle w:val="BodyText"/>
      </w:pPr>
      <w:r>
        <w:t xml:space="preserve">The Shire's economy is based on tourism, forestry and agriculture.</w:t>
      </w:r>
    </w:p>
    <w:p>
      <w:pPr>
        <w:pStyle w:val="BodyText"/>
      </w:pPr>
      <w:r>
        <w:t xml:space="preserve">Alpine is part of the Small Shire council grouping and can be compared with similar councils. More information on council groupings can be found</w:t>
      </w:r>
      <w:r>
        <w:t xml:space="preserve"> </w:t>
      </w:r>
      <w:hyperlink r:id="rId33">
        <w:r>
          <w:rPr>
            <w:rStyle w:val="Hyperlink"/>
          </w:rPr>
          <w:t xml:space="preserve">here</w:t>
        </w:r>
      </w:hyperlink>
      <w:r>
        <w:t xml:space="preserve">.</w:t>
      </w:r>
    </w:p>
    <w:p>
      <w:pPr>
        <w:pStyle w:val="Heading3"/>
      </w:pPr>
      <w:bookmarkStart w:id="34" w:name="victoria-in-future-profile"/>
      <w:bookmarkEnd w:id="34"/>
      <w:r>
        <w:t xml:space="preserve">Victoria in Future Profile</w:t>
      </w:r>
    </w:p>
    <w:p>
      <w:pPr>
        <w:pStyle w:val="FirstParagraph"/>
      </w:pPr>
      <w:hyperlink r:id="rId35">
        <w:r>
          <w:rPr>
            <w:rStyle w:val="Hyperlink"/>
          </w:rPr>
          <w:t xml:space="preserve">Alpine - Victoria in Future 2016</w:t>
        </w:r>
        <w:r>
          <w:br w:type="textWrapping"/>
        </w:r>
      </w:hyperlink>
    </w:p>
    <w:p>
      <w:pPr>
        <w:pStyle w:val="Heading3"/>
      </w:pPr>
      <w:bookmarkStart w:id="36" w:name="aboriginal-community-profile"/>
      <w:bookmarkEnd w:id="36"/>
      <w:r>
        <w:t xml:space="preserve">Aboriginal Community Profile</w:t>
      </w:r>
    </w:p>
    <w:p>
      <w:pPr>
        <w:pStyle w:val="FirstParagraph"/>
      </w:pPr>
      <w:hyperlink r:id="rId37">
        <w:r>
          <w:rPr>
            <w:rStyle w:val="Hyperlink"/>
          </w:rPr>
          <w:t xml:space="preserve">Alpine Aboriginal Community Profile (includes Aboriginal organisations)</w:t>
        </w:r>
      </w:hyperlink>
    </w:p>
    <w:p>
      <w:pPr>
        <w:pStyle w:val="Heading2"/>
      </w:pPr>
      <w:bookmarkStart w:id="38" w:name="localities"/>
      <w:bookmarkEnd w:id="38"/>
      <w:r>
        <w:t xml:space="preserve">Localities</w:t>
      </w:r>
    </w:p>
    <w:p>
      <w:pPr>
        <w:pStyle w:val="FirstParagraph"/>
      </w:pPr>
      <w:r>
        <w:t xml:space="preserve">Abbeyard, Barwidgee, Bogong, Bright, Buckland, Buffalo Creek, Buffalo River, Cobungra, Coral Bank, Dandongadale, Dargo, Dederang, Dinner Plain, Eurobin, Falls Creek, Freeburgh, Gapsted, Germantown, Glen Creek, Gundowring, Harrietville, Havilah, Hotham Heights, Kancoona, Kergunyah South, Merriang, Mongans Bridge, Mount Beauty, Mount Buffalo, Mount Hotham, Mudgeegonga, Myrtleford, Nug Nug, Ovens, Porepunkah, Rosewhite, Running Creek, Selwyn, Smoko, Tawonga, Tawonga South, Upper Gundowring, Wandiligong, Wongungarra and Wonnangatta.</w:t>
      </w:r>
    </w:p>
    <w:p>
      <w:pPr>
        <w:pStyle w:val="BodyText"/>
      </w:pPr>
      <w:r>
        <w:t xml:space="preserve">For a detailed map showing shire boundaries and locality names, visit </w:t>
      </w:r>
      <w:hyperlink r:id="rId39">
        <w:r>
          <w:rPr>
            <w:rStyle w:val="Hyperlink"/>
          </w:rPr>
          <w:t xml:space="preserve">VICNAMES</w:t>
        </w:r>
      </w:hyperlink>
      <w:r>
        <w:t xml:space="preserve">.</w:t>
      </w:r>
    </w:p>
    <w:p>
      <w:pPr>
        <w:pStyle w:val="Heading2"/>
      </w:pPr>
      <w:bookmarkStart w:id="40" w:name="community-satisfaction"/>
      <w:bookmarkEnd w:id="40"/>
      <w:r>
        <w:t xml:space="preserve">Community Satisfaction</w:t>
      </w:r>
    </w:p>
    <w:p>
      <w:pPr>
        <w:pStyle w:val="FirstParagraph"/>
      </w:pPr>
      <w:hyperlink r:id="rId41">
        <w:r>
          <w:rPr>
            <w:rStyle w:val="Hyperlink"/>
          </w:rPr>
          <w:t xml:space="preserve">Local Government Community Satisfaction Survey Statewide Results</w:t>
        </w:r>
      </w:hyperlink>
    </w:p>
    <w:p>
      <w:pPr>
        <w:pStyle w:val="Heading2"/>
      </w:pPr>
      <w:bookmarkStart w:id="42" w:name="annual-report"/>
      <w:bookmarkEnd w:id="42"/>
      <w:r>
        <w:t xml:space="preserve">Annual Report</w:t>
      </w:r>
    </w:p>
    <w:p>
      <w:pPr>
        <w:pStyle w:val="FirstParagraph"/>
      </w:pPr>
      <w:hyperlink r:id="rId43">
        <w:r>
          <w:rPr>
            <w:rStyle w:val="Hyperlink"/>
          </w:rPr>
          <w:t xml:space="preserve">Alpine Shire Council 2019/20 Annual Report</w:t>
        </w:r>
      </w:hyperlink>
    </w:p>
    <w:p>
      <w:pPr>
        <w:pStyle w:val="BodyText"/>
      </w:pPr>
      <w:r>
        <w:br w:type="textWrapping"/>
      </w:r>
    </w:p>
    <w:p>
      <w:pPr>
        <w:pStyle w:val="Heading2"/>
      </w:pPr>
      <w:bookmarkStart w:id="44" w:name="elections"/>
      <w:bookmarkEnd w:id="44"/>
      <w:r>
        <w:t xml:space="preserve">Elections</w:t>
      </w:r>
    </w:p>
    <w:p>
      <w:pPr>
        <w:pStyle w:val="FirstParagraph"/>
      </w:pPr>
      <w:r>
        <w:t xml:space="preserve">For further information regarding Local Government elections visit:</w:t>
      </w:r>
    </w:p>
    <w:p>
      <w:pPr>
        <w:pStyle w:val="BodyText"/>
      </w:pPr>
      <w:hyperlink r:id="rId45"/>
    </w:p>
    <w:p>
      <w:pPr>
        <w:pStyle w:val="Compact"/>
        <w:numPr>
          <w:numId w:val="1002"/>
          <w:ilvl w:val="0"/>
        </w:numPr>
      </w:pPr>
      <w:hyperlink r:id="rId46">
        <w:r>
          <w:rPr>
            <w:rStyle w:val="Hyperlink"/>
          </w:rPr>
          <w:t xml:space="preserve">Local Government Victoria</w:t>
        </w:r>
      </w:hyperlink>
    </w:p>
    <w:p>
      <w:pPr>
        <w:pStyle w:val="Compact"/>
        <w:numPr>
          <w:numId w:val="1002"/>
          <w:ilvl w:val="0"/>
        </w:numPr>
      </w:pPr>
      <w:hyperlink r:id="rId47">
        <w:r>
          <w:rPr>
            <w:rStyle w:val="Hyperlink"/>
          </w:rPr>
          <w:t xml:space="preserve">Victorian Electoral Commission</w:t>
        </w:r>
      </w:hyperlink>
    </w:p>
    <w:p>
      <w:pPr>
        <w:pStyle w:val="Heading2"/>
      </w:pPr>
      <w:bookmarkStart w:id="48" w:name="councillors"/>
      <w:bookmarkEnd w:id="48"/>
      <w:r>
        <w:t xml:space="preserve">Councillors</w:t>
      </w:r>
    </w:p>
    <w:p>
      <w:pPr>
        <w:pStyle w:val="FirstParagraph"/>
      </w:pPr>
      <w:r>
        <w:t xml:space="preserve">7 Councillors elected in October 2020.</w:t>
      </w:r>
    </w:p>
    <w:p>
      <w:pPr>
        <w:pStyle w:val="BodyText"/>
      </w:pPr>
      <w:r>
        <w:t xml:space="preserve"> </w:t>
      </w:r>
    </w:p>
    <w:p>
      <w:pPr>
        <w:pStyle w:val="BodyText"/>
      </w:pPr>
      <w:r>
        <w:t xml:space="preserve">Unsubdivided - Cr John Forsyth - Mayor</w:t>
      </w:r>
    </w:p>
    <w:p>
      <w:pPr>
        <w:pStyle w:val="BodyText"/>
      </w:pPr>
      <w:r>
        <w:t xml:space="preserve">Unsubdivided - Cr Ron Janas</w:t>
      </w:r>
    </w:p>
    <w:p>
      <w:pPr>
        <w:pStyle w:val="BodyText"/>
      </w:pPr>
      <w:r>
        <w:t xml:space="preserve">Unsubdivided - Cr Tony Keeble</w:t>
      </w:r>
    </w:p>
    <w:p>
      <w:pPr>
        <w:pStyle w:val="BodyText"/>
      </w:pPr>
      <w:r>
        <w:t xml:space="preserve">Unsubdivided - Cr Katarina Chalwell</w:t>
      </w:r>
    </w:p>
    <w:p>
      <w:pPr>
        <w:pStyle w:val="BodyText"/>
      </w:pPr>
      <w:r>
        <w:t xml:space="preserve">Unsubdivided - Cr Sarah Nicholas - Deputy Mayor</w:t>
      </w:r>
    </w:p>
    <w:p>
      <w:pPr>
        <w:pStyle w:val="BodyText"/>
      </w:pPr>
      <w:r>
        <w:t xml:space="preserve">Unsubdivided - Cr Kelli Prime</w:t>
      </w:r>
    </w:p>
    <w:p>
      <w:pPr>
        <w:pStyle w:val="BodyText"/>
      </w:pPr>
      <w:r>
        <w:t xml:space="preserve">Unsubdivided - Cr Charlie Vincent</w:t>
      </w:r>
    </w:p>
    <w:p>
      <w:pPr>
        <w:pStyle w:val="Heading2"/>
      </w:pPr>
      <w:bookmarkStart w:id="49" w:name="population-data"/>
      <w:bookmarkEnd w:id="49"/>
      <w:r>
        <w:t xml:space="preserve">Population data</w:t>
      </w:r>
    </w:p>
    <w:p>
      <w:pPr>
        <w:pStyle w:val="FirstParagraph"/>
      </w:pPr>
      <w:r>
        <w:t xml:space="preserve">Estimated resident population. Source: Victoria in Future 2016 - Population and Household Projections to 2031</w:t>
      </w:r>
    </w:p>
    <w:p>
      <w:pPr>
        <w:pStyle w:val="Compact"/>
        <w:numPr>
          <w:numId w:val="1003"/>
          <w:ilvl w:val="0"/>
        </w:numPr>
      </w:pPr>
      <w:r>
        <w:rPr>
          <w:b/>
        </w:rPr>
        <w:t xml:space="preserve">2016 </w:t>
      </w:r>
      <w:r>
        <w:t xml:space="preserve">11,835  </w:t>
      </w:r>
    </w:p>
    <w:p>
      <w:pPr>
        <w:pStyle w:val="Compact"/>
        <w:numPr>
          <w:numId w:val="1003"/>
          <w:ilvl w:val="0"/>
        </w:numPr>
      </w:pPr>
      <w:r>
        <w:rPr>
          <w:b/>
        </w:rPr>
        <w:t xml:space="preserve">2021 </w:t>
      </w:r>
      <w:r>
        <w:t xml:space="preserve">11,801  </w:t>
      </w:r>
    </w:p>
    <w:p>
      <w:pPr>
        <w:pStyle w:val="Compact"/>
        <w:numPr>
          <w:numId w:val="1003"/>
          <w:ilvl w:val="0"/>
        </w:numPr>
      </w:pPr>
      <w:r>
        <w:rPr>
          <w:b/>
        </w:rPr>
        <w:t xml:space="preserve">2026 </w:t>
      </w:r>
      <w:r>
        <w:t xml:space="preserve">11,864  </w:t>
      </w:r>
    </w:p>
    <w:p>
      <w:pPr>
        <w:pStyle w:val="Compact"/>
        <w:numPr>
          <w:numId w:val="1003"/>
          <w:ilvl w:val="0"/>
        </w:numPr>
      </w:pPr>
      <w:r>
        <w:rPr>
          <w:b/>
        </w:rPr>
        <w:t xml:space="preserve">2031 </w:t>
      </w:r>
      <w:r>
        <w:t xml:space="preserve">11,942  </w:t>
      </w:r>
    </w:p>
    <w:p>
      <w:pPr>
        <w:pStyle w:val="Heading2"/>
      </w:pPr>
      <w:bookmarkStart w:id="50" w:name="finances"/>
      <w:bookmarkEnd w:id="50"/>
      <w:r>
        <w:t xml:space="preserve">Finances</w:t>
      </w:r>
    </w:p>
    <w:p>
      <w:pPr>
        <w:pStyle w:val="FirstParagraph"/>
      </w:pPr>
      <w:r>
        <w:t xml:space="preserve">Source: Victoria Grants Commission.</w:t>
      </w:r>
      <w:r>
        <w:br w:type="textWrapping"/>
      </w:r>
      <w:r>
        <w:t xml:space="preserve">The figures in the bottom two rows of the table show combined one-off and ongoing funding received by council from both the Federal and State Governments. It is important to note that this amount can change significantly from year to year as individual government funding programs change and natural events such as fires and floods occur.</w:t>
      </w:r>
    </w:p>
    <w:p>
      <w:pPr>
        <w:pStyle w:val="BodyText"/>
      </w:pPr>
      <w:r>
        <w:t xml:space="preserve">Data shows the amount allocated in respect of the relevant financial year. In some years, that amount will vary from the payments received that year, as a result of the Commonwealth "bringing forward" some payments.</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 </w:t>
            </w:r>
          </w:p>
        </w:tc>
        <w:tc>
          <w:tcPr>
            <w:tcBorders>
              <w:bottom w:val="single"/>
            </w:tcBorders>
            <w:vAlign w:val="bottom"/>
          </w:tcPr>
          <w:p>
            <w:pPr>
              <w:pStyle w:val="Compact"/>
              <w:jc w:val="left"/>
            </w:pPr>
            <w:r>
              <w:t xml:space="preserve">2018-19</w:t>
            </w:r>
          </w:p>
        </w:tc>
        <w:tc>
          <w:tcPr>
            <w:tcBorders>
              <w:bottom w:val="single"/>
            </w:tcBorders>
            <w:vAlign w:val="bottom"/>
          </w:tcPr>
          <w:p>
            <w:pPr>
              <w:pStyle w:val="Compact"/>
              <w:jc w:val="left"/>
            </w:pPr>
            <w:r>
              <w:t xml:space="preserve">2017-18</w:t>
            </w:r>
          </w:p>
        </w:tc>
        <w:tc>
          <w:tcPr>
            <w:tcBorders>
              <w:bottom w:val="single"/>
            </w:tcBorders>
            <w:vAlign w:val="bottom"/>
          </w:tcPr>
          <w:p>
            <w:pPr>
              <w:pStyle w:val="Compact"/>
              <w:jc w:val="left"/>
            </w:pPr>
            <w:r>
              <w:t xml:space="preserve">2016-17</w:t>
            </w:r>
          </w:p>
        </w:tc>
        <w:tc>
          <w:tcPr>
            <w:tcBorders>
              <w:bottom w:val="single"/>
            </w:tcBorders>
            <w:vAlign w:val="bottom"/>
          </w:tcPr>
          <w:p>
            <w:pPr>
              <w:pStyle w:val="Compact"/>
              <w:jc w:val="left"/>
            </w:pPr>
            <w:r>
              <w:t xml:space="preserve">2015-16</w:t>
            </w:r>
          </w:p>
        </w:tc>
        <w:tc>
          <w:tcPr>
            <w:tcBorders>
              <w:bottom w:val="single"/>
            </w:tcBorders>
            <w:vAlign w:val="bottom"/>
          </w:tcPr>
          <w:p>
            <w:pPr>
              <w:pStyle w:val="Compact"/>
              <w:jc w:val="left"/>
            </w:pPr>
            <w:r>
              <w:t xml:space="preserve">2014-15</w:t>
            </w:r>
          </w:p>
        </w:tc>
        <w:tc>
          <w:tcPr>
            <w:tcBorders>
              <w:bottom w:val="single"/>
            </w:tcBorders>
            <w:vAlign w:val="bottom"/>
          </w:tcPr>
          <w:p>
            <w:pPr>
              <w:pStyle w:val="Compact"/>
              <w:jc w:val="left"/>
            </w:pPr>
            <w:r>
              <w:t xml:space="preserve">2013-14</w:t>
            </w:r>
          </w:p>
        </w:tc>
        <w:tc>
          <w:tcPr>
            <w:tcBorders>
              <w:bottom w:val="single"/>
            </w:tcBorders>
            <w:vAlign w:val="bottom"/>
          </w:tcPr>
          <w:p>
            <w:pPr>
              <w:pStyle w:val="Compact"/>
              <w:jc w:val="left"/>
            </w:pPr>
            <w:r>
              <w:t xml:space="preserve">2012-13</w:t>
            </w:r>
          </w:p>
        </w:tc>
        <w:tc>
          <w:tcPr>
            <w:tcBorders>
              <w:bottom w:val="single"/>
            </w:tcBorders>
            <w:vAlign w:val="bottom"/>
          </w:tcPr>
          <w:p>
            <w:pPr>
              <w:pStyle w:val="Compact"/>
              <w:jc w:val="left"/>
            </w:pPr>
            <w:r>
              <w:t xml:space="preserve">2011-12</w:t>
            </w:r>
          </w:p>
        </w:tc>
        <w:tc>
          <w:tcPr>
            <w:tcBorders>
              <w:bottom w:val="single"/>
            </w:tcBorders>
            <w:vAlign w:val="bottom"/>
          </w:tcPr>
          <w:p>
            <w:pPr>
              <w:pStyle w:val="Compact"/>
              <w:jc w:val="left"/>
            </w:pPr>
            <w:r>
              <w:t xml:space="preserve">2010-11</w:t>
            </w:r>
          </w:p>
        </w:tc>
        <w:tc>
          <w:tcPr>
            <w:tcBorders>
              <w:bottom w:val="single"/>
            </w:tcBorders>
            <w:vAlign w:val="bottom"/>
          </w:tcPr>
          <w:p>
            <w:pPr>
              <w:pStyle w:val="Compact"/>
              <w:jc w:val="left"/>
            </w:pPr>
            <w:r>
              <w:t xml:space="preserve">2009-10</w:t>
            </w:r>
          </w:p>
        </w:tc>
      </w:tr>
      <w:tr>
        <w:tc>
          <w:p>
            <w:pPr>
              <w:pStyle w:val="Compact"/>
              <w:jc w:val="left"/>
            </w:pPr>
            <w:r>
              <w:t xml:space="preserve">Recurrent Expenditure ($)</w:t>
            </w:r>
          </w:p>
        </w:tc>
        <w:tc>
          <w:p>
            <w:pPr>
              <w:pStyle w:val="Compact"/>
              <w:jc w:val="left"/>
            </w:pPr>
            <w:r>
              <w:t xml:space="preserve">24.806m</w:t>
            </w:r>
          </w:p>
        </w:tc>
        <w:tc>
          <w:p>
            <w:pPr>
              <w:pStyle w:val="Compact"/>
              <w:jc w:val="left"/>
            </w:pPr>
            <w:r>
              <w:t xml:space="preserve">23.462m</w:t>
            </w:r>
          </w:p>
        </w:tc>
        <w:tc>
          <w:p>
            <w:pPr>
              <w:pStyle w:val="Compact"/>
              <w:jc w:val="left"/>
            </w:pPr>
            <w:r>
              <w:t xml:space="preserve">24.512m</w:t>
            </w:r>
          </w:p>
        </w:tc>
        <w:tc>
          <w:p>
            <w:pPr>
              <w:pStyle w:val="Compact"/>
              <w:jc w:val="left"/>
            </w:pPr>
            <w:r>
              <w:t xml:space="preserve">24.244m</w:t>
            </w:r>
          </w:p>
        </w:tc>
        <w:tc>
          <w:p>
            <w:pPr>
              <w:pStyle w:val="Compact"/>
              <w:jc w:val="left"/>
            </w:pPr>
            <w:r>
              <w:t xml:space="preserve">23.506m</w:t>
            </w:r>
          </w:p>
        </w:tc>
        <w:tc>
          <w:p>
            <w:pPr>
              <w:pStyle w:val="Compact"/>
              <w:jc w:val="left"/>
            </w:pPr>
            <w:r>
              <w:t xml:space="preserve">25.891m</w:t>
            </w:r>
          </w:p>
        </w:tc>
        <w:tc>
          <w:p>
            <w:pPr>
              <w:pStyle w:val="Compact"/>
              <w:jc w:val="left"/>
            </w:pPr>
            <w:r>
              <w:t xml:space="preserve">24.358m</w:t>
            </w:r>
          </w:p>
        </w:tc>
        <w:tc>
          <w:p>
            <w:pPr>
              <w:pStyle w:val="Compact"/>
              <w:jc w:val="left"/>
            </w:pPr>
            <w:r>
              <w:t xml:space="preserve">24.086m</w:t>
            </w:r>
          </w:p>
        </w:tc>
        <w:tc>
          <w:p>
            <w:pPr>
              <w:pStyle w:val="Compact"/>
              <w:jc w:val="left"/>
            </w:pPr>
            <w:r>
              <w:t xml:space="preserve">25.111m</w:t>
            </w:r>
          </w:p>
        </w:tc>
        <w:tc>
          <w:p>
            <w:pPr>
              <w:pStyle w:val="Compact"/>
              <w:jc w:val="left"/>
            </w:pPr>
            <w:r>
              <w:t xml:space="preserve">20.774m</w:t>
            </w:r>
          </w:p>
        </w:tc>
      </w:tr>
      <w:tr>
        <w:tc>
          <w:p>
            <w:pPr>
              <w:pStyle w:val="Compact"/>
              <w:jc w:val="left"/>
            </w:pPr>
            <w:r>
              <w:t xml:space="preserve">Recurrent Revenue ($)</w:t>
            </w:r>
          </w:p>
        </w:tc>
        <w:tc>
          <w:p>
            <w:pPr>
              <w:pStyle w:val="Compact"/>
              <w:jc w:val="left"/>
            </w:pPr>
            <w:r>
              <w:t xml:space="preserve">31.699m</w:t>
            </w:r>
          </w:p>
        </w:tc>
        <w:tc>
          <w:p>
            <w:pPr>
              <w:pStyle w:val="Compact"/>
              <w:jc w:val="left"/>
            </w:pPr>
            <w:r>
              <w:t xml:space="preserve">31.084m</w:t>
            </w:r>
          </w:p>
        </w:tc>
        <w:tc>
          <w:p>
            <w:pPr>
              <w:pStyle w:val="Compact"/>
              <w:jc w:val="left"/>
            </w:pPr>
            <w:r>
              <w:t xml:space="preserve">30.919m</w:t>
            </w:r>
          </w:p>
        </w:tc>
        <w:tc>
          <w:p>
            <w:pPr>
              <w:pStyle w:val="Compact"/>
              <w:jc w:val="left"/>
            </w:pPr>
            <w:r>
              <w:t xml:space="preserve">25.840m</w:t>
            </w:r>
          </w:p>
        </w:tc>
        <w:tc>
          <w:p>
            <w:pPr>
              <w:pStyle w:val="Compact"/>
              <w:jc w:val="left"/>
            </w:pPr>
            <w:r>
              <w:t xml:space="preserve">31.070m</w:t>
            </w:r>
          </w:p>
        </w:tc>
        <w:tc>
          <w:p>
            <w:pPr>
              <w:pStyle w:val="Compact"/>
              <w:jc w:val="left"/>
            </w:pPr>
            <w:r>
              <w:t xml:space="preserve">25.721m</w:t>
            </w:r>
          </w:p>
        </w:tc>
        <w:tc>
          <w:p>
            <w:pPr>
              <w:pStyle w:val="Compact"/>
              <w:jc w:val="left"/>
            </w:pPr>
            <w:r>
              <w:t xml:space="preserve">26.541m</w:t>
            </w:r>
          </w:p>
        </w:tc>
        <w:tc>
          <w:p>
            <w:pPr>
              <w:pStyle w:val="Compact"/>
              <w:jc w:val="left"/>
            </w:pPr>
            <w:r>
              <w:t xml:space="preserve">27.828m</w:t>
            </w:r>
          </w:p>
        </w:tc>
        <w:tc>
          <w:p>
            <w:pPr>
              <w:pStyle w:val="Compact"/>
              <w:jc w:val="left"/>
            </w:pPr>
            <w:r>
              <w:t xml:space="preserve">25.249m</w:t>
            </w:r>
          </w:p>
        </w:tc>
        <w:tc>
          <w:p>
            <w:pPr>
              <w:pStyle w:val="Compact"/>
              <w:jc w:val="left"/>
            </w:pPr>
            <w:r>
              <w:t xml:space="preserve">21.665m</w:t>
            </w:r>
          </w:p>
        </w:tc>
      </w:tr>
      <w:tr>
        <w:tc>
          <w:p>
            <w:pPr>
              <w:pStyle w:val="Compact"/>
              <w:jc w:val="left"/>
            </w:pPr>
            <w:r>
              <w:t xml:space="preserve">- Rates and Charges</w:t>
            </w:r>
          </w:p>
        </w:tc>
        <w:tc>
          <w:p>
            <w:pPr>
              <w:pStyle w:val="Compact"/>
              <w:jc w:val="left"/>
            </w:pPr>
            <w:r>
              <w:t xml:space="preserve">17.949m</w:t>
            </w:r>
          </w:p>
        </w:tc>
        <w:tc>
          <w:p>
            <w:pPr>
              <w:pStyle w:val="Compact"/>
              <w:jc w:val="left"/>
            </w:pPr>
            <w:r>
              <w:t xml:space="preserve">17.772m</w:t>
            </w:r>
          </w:p>
        </w:tc>
        <w:tc>
          <w:p>
            <w:pPr>
              <w:pStyle w:val="Compact"/>
              <w:jc w:val="left"/>
            </w:pPr>
            <w:r>
              <w:t xml:space="preserve">16.957m</w:t>
            </w:r>
          </w:p>
        </w:tc>
        <w:tc>
          <w:p>
            <w:pPr>
              <w:pStyle w:val="Compact"/>
              <w:jc w:val="left"/>
            </w:pPr>
            <w:r>
              <w:t xml:space="preserve">16.601m</w:t>
            </w:r>
          </w:p>
        </w:tc>
        <w:tc>
          <w:p>
            <w:pPr>
              <w:pStyle w:val="Compact"/>
              <w:jc w:val="left"/>
            </w:pPr>
            <w:r>
              <w:t xml:space="preserve">15.876m</w:t>
            </w:r>
          </w:p>
        </w:tc>
        <w:tc>
          <w:p>
            <w:pPr>
              <w:pStyle w:val="Compact"/>
              <w:jc w:val="left"/>
            </w:pPr>
            <w:r>
              <w:t xml:space="preserve">14.899m</w:t>
            </w:r>
          </w:p>
        </w:tc>
        <w:tc>
          <w:p>
            <w:pPr>
              <w:pStyle w:val="Compact"/>
              <w:jc w:val="left"/>
            </w:pPr>
            <w:r>
              <w:t xml:space="preserve">14.175m</w:t>
            </w:r>
          </w:p>
        </w:tc>
        <w:tc>
          <w:p>
            <w:pPr>
              <w:pStyle w:val="Compact"/>
              <w:jc w:val="left"/>
            </w:pPr>
            <w:r>
              <w:t xml:space="preserve">13.419m</w:t>
            </w:r>
          </w:p>
        </w:tc>
        <w:tc>
          <w:p>
            <w:pPr>
              <w:pStyle w:val="Compact"/>
              <w:jc w:val="left"/>
            </w:pPr>
            <w:r>
              <w:t xml:space="preserve">12.389m</w:t>
            </w:r>
          </w:p>
        </w:tc>
        <w:tc>
          <w:p>
            <w:pPr>
              <w:pStyle w:val="Compact"/>
              <w:jc w:val="left"/>
            </w:pPr>
            <w:r>
              <w:t xml:space="preserve">11.573m</w:t>
            </w:r>
          </w:p>
        </w:tc>
      </w:tr>
      <w:tr>
        <w:tc>
          <w:p>
            <w:pPr>
              <w:pStyle w:val="Compact"/>
              <w:jc w:val="left"/>
            </w:pPr>
            <w:r>
              <w:t xml:space="preserve">- VGC Grants</w:t>
            </w:r>
          </w:p>
        </w:tc>
        <w:tc>
          <w:p>
            <w:pPr>
              <w:pStyle w:val="Compact"/>
              <w:jc w:val="left"/>
            </w:pPr>
            <w:r>
              <w:t xml:space="preserve">3.735m</w:t>
            </w:r>
          </w:p>
        </w:tc>
        <w:tc>
          <w:p>
            <w:pPr>
              <w:pStyle w:val="Compact"/>
              <w:jc w:val="left"/>
            </w:pPr>
            <w:r>
              <w:t xml:space="preserve">3.565m</w:t>
            </w:r>
          </w:p>
        </w:tc>
        <w:tc>
          <w:p>
            <w:pPr>
              <w:pStyle w:val="Compact"/>
              <w:jc w:val="left"/>
            </w:pPr>
            <w:r>
              <w:t xml:space="preserve">3.394m</w:t>
            </w:r>
          </w:p>
        </w:tc>
        <w:tc>
          <w:p>
            <w:pPr>
              <w:pStyle w:val="Compact"/>
              <w:jc w:val="left"/>
            </w:pPr>
            <w:r>
              <w:t xml:space="preserve">3.439m</w:t>
            </w:r>
          </w:p>
        </w:tc>
        <w:tc>
          <w:p>
            <w:pPr>
              <w:pStyle w:val="Compact"/>
              <w:jc w:val="left"/>
            </w:pPr>
            <w:r>
              <w:t xml:space="preserve">3.509m</w:t>
            </w:r>
          </w:p>
        </w:tc>
        <w:tc>
          <w:p>
            <w:pPr>
              <w:pStyle w:val="Compact"/>
              <w:jc w:val="left"/>
            </w:pPr>
            <w:r>
              <w:t xml:space="preserve">3.524m</w:t>
            </w:r>
          </w:p>
        </w:tc>
        <w:tc>
          <w:p>
            <w:pPr>
              <w:pStyle w:val="Compact"/>
              <w:jc w:val="left"/>
            </w:pPr>
            <w:r>
              <w:t xml:space="preserve">3.439m</w:t>
            </w:r>
          </w:p>
        </w:tc>
        <w:tc>
          <w:p>
            <w:pPr>
              <w:pStyle w:val="Compact"/>
              <w:jc w:val="left"/>
            </w:pPr>
            <w:r>
              <w:t xml:space="preserve">3.419m</w:t>
            </w:r>
          </w:p>
        </w:tc>
        <w:tc>
          <w:p>
            <w:pPr>
              <w:pStyle w:val="Compact"/>
              <w:jc w:val="left"/>
            </w:pPr>
            <w:r>
              <w:t xml:space="preserve">3.319m</w:t>
            </w:r>
          </w:p>
        </w:tc>
        <w:tc>
          <w:p>
            <w:pPr>
              <w:pStyle w:val="Compact"/>
              <w:jc w:val="left"/>
            </w:pPr>
            <w:r>
              <w:t xml:space="preserve">3.165m</w:t>
            </w:r>
          </w:p>
        </w:tc>
      </w:tr>
      <w:tr>
        <w:tc>
          <w:p>
            <w:pPr>
              <w:pStyle w:val="Compact"/>
              <w:jc w:val="left"/>
            </w:pPr>
            <w:r>
              <w:t xml:space="preserve">Non-Recurrent Government Grants</w:t>
            </w:r>
            <w:r>
              <w:br w:type="textWrapping"/>
            </w:r>
          </w:p>
        </w:tc>
        <w:tc>
          <w:p>
            <w:pPr>
              <w:pStyle w:val="Compact"/>
              <w:jc w:val="left"/>
            </w:pPr>
            <w:r>
              <w:t xml:space="preserve">4.200m</w:t>
            </w:r>
            <w:r>
              <w:br w:type="textWrapping"/>
            </w:r>
          </w:p>
        </w:tc>
        <w:tc>
          <w:p>
            <w:pPr>
              <w:pStyle w:val="Compact"/>
              <w:jc w:val="left"/>
            </w:pPr>
            <w:r>
              <w:t xml:space="preserve">1.538m</w:t>
            </w:r>
            <w:r>
              <w:br w:type="textWrapping"/>
            </w:r>
          </w:p>
        </w:tc>
        <w:tc>
          <w:p>
            <w:pPr>
              <w:pStyle w:val="Compact"/>
              <w:jc w:val="left"/>
            </w:pPr>
            <w:r>
              <w:t xml:space="preserve">2.127m</w:t>
            </w:r>
            <w:r>
              <w:br w:type="textWrapping"/>
            </w:r>
          </w:p>
        </w:tc>
        <w:tc>
          <w:p>
            <w:pPr>
              <w:pStyle w:val="Compact"/>
              <w:jc w:val="left"/>
            </w:pPr>
            <w:r>
              <w:t xml:space="preserve">1.424m</w:t>
            </w:r>
            <w:r>
              <w:br w:type="textWrapping"/>
            </w:r>
          </w:p>
        </w:tc>
        <w:tc>
          <w:p>
            <w:pPr>
              <w:pStyle w:val="Compact"/>
              <w:jc w:val="left"/>
            </w:pPr>
            <w:r>
              <w:t xml:space="preserve">4.424m</w:t>
            </w:r>
            <w:r>
              <w:br w:type="textWrapping"/>
            </w:r>
          </w:p>
        </w:tc>
        <w:tc>
          <w:p>
            <w:pPr>
              <w:pStyle w:val="Compact"/>
              <w:jc w:val="left"/>
            </w:pPr>
            <w:r>
              <w:t xml:space="preserve">3.843m</w:t>
            </w:r>
            <w:r>
              <w:br w:type="textWrapping"/>
            </w:r>
          </w:p>
        </w:tc>
        <w:tc>
          <w:p>
            <w:pPr>
              <w:pStyle w:val="Compact"/>
              <w:jc w:val="left"/>
            </w:pPr>
            <w:r>
              <w:t xml:space="preserve">3.581m</w:t>
            </w:r>
            <w:r>
              <w:br w:type="textWrapping"/>
            </w:r>
          </w:p>
        </w:tc>
        <w:tc>
          <w:p>
            <w:pPr>
              <w:pStyle w:val="Compact"/>
              <w:jc w:val="left"/>
            </w:pPr>
            <w:r>
              <w:t xml:space="preserve">4.672m</w:t>
            </w:r>
            <w:r>
              <w:br w:type="textWrapping"/>
            </w:r>
          </w:p>
        </w:tc>
        <w:tc>
          <w:p>
            <w:pPr>
              <w:pStyle w:val="Compact"/>
              <w:jc w:val="left"/>
            </w:pPr>
            <w:r>
              <w:t xml:space="preserve">5.292m</w:t>
            </w:r>
            <w:r>
              <w:br w:type="textWrapping"/>
            </w:r>
          </w:p>
        </w:tc>
        <w:tc>
          <w:p>
            <w:pPr>
              <w:pStyle w:val="Compact"/>
              <w:jc w:val="left"/>
            </w:pPr>
            <w:r>
              <w:t xml:space="preserve">2.190m</w:t>
            </w:r>
            <w:r>
              <w:br w:type="textWrapping"/>
            </w:r>
          </w:p>
        </w:tc>
      </w:tr>
      <w:tr>
        <w:tc>
          <w:p>
            <w:pPr>
              <w:pStyle w:val="Compact"/>
              <w:jc w:val="left"/>
            </w:pPr>
            <w:r>
              <w:t xml:space="preserve">Recurrent Government Grants</w:t>
            </w:r>
            <w:r>
              <w:br w:type="textWrapping"/>
            </w:r>
          </w:p>
        </w:tc>
        <w:tc>
          <w:p>
            <w:pPr>
              <w:pStyle w:val="Compact"/>
              <w:jc w:val="left"/>
            </w:pPr>
            <w:r>
              <w:t xml:space="preserve">5.107m</w:t>
            </w:r>
            <w:r>
              <w:br w:type="textWrapping"/>
            </w:r>
          </w:p>
        </w:tc>
        <w:tc>
          <w:p>
            <w:pPr>
              <w:pStyle w:val="Compact"/>
              <w:jc w:val="left"/>
            </w:pPr>
            <w:r>
              <w:t xml:space="preserve">7.461m</w:t>
            </w:r>
            <w:r>
              <w:br w:type="textWrapping"/>
            </w:r>
          </w:p>
        </w:tc>
        <w:tc>
          <w:p>
            <w:pPr>
              <w:pStyle w:val="Compact"/>
              <w:jc w:val="left"/>
            </w:pPr>
            <w:r>
              <w:t xml:space="preserve">7.413m</w:t>
            </w:r>
            <w:r>
              <w:br w:type="textWrapping"/>
            </w:r>
          </w:p>
        </w:tc>
        <w:tc>
          <w:p>
            <w:pPr>
              <w:pStyle w:val="Compact"/>
              <w:jc w:val="left"/>
            </w:pPr>
            <w:r>
              <w:t xml:space="preserve">4.335m</w:t>
            </w:r>
            <w:r>
              <w:br w:type="textWrapping"/>
            </w:r>
          </w:p>
        </w:tc>
        <w:tc>
          <w:p>
            <w:pPr>
              <w:pStyle w:val="Compact"/>
              <w:jc w:val="left"/>
            </w:pPr>
            <w:r>
              <w:t xml:space="preserve">1.549m</w:t>
            </w:r>
            <w:r>
              <w:br w:type="textWrapping"/>
            </w:r>
          </w:p>
        </w:tc>
        <w:tc>
          <w:p>
            <w:pPr>
              <w:pStyle w:val="Compact"/>
              <w:jc w:val="left"/>
            </w:pPr>
            <w:r>
              <w:t xml:space="preserve">1.622m</w:t>
            </w:r>
            <w:r>
              <w:br w:type="textWrapping"/>
            </w:r>
          </w:p>
        </w:tc>
        <w:tc>
          <w:p>
            <w:pPr>
              <w:pStyle w:val="Compact"/>
              <w:jc w:val="left"/>
            </w:pPr>
            <w:r>
              <w:t xml:space="preserve">1.484m</w:t>
            </w:r>
            <w:r>
              <w:br w:type="textWrapping"/>
            </w:r>
          </w:p>
        </w:tc>
        <w:tc>
          <w:p>
            <w:pPr>
              <w:pStyle w:val="Compact"/>
              <w:jc w:val="left"/>
            </w:pPr>
            <w:r>
              <w:t xml:space="preserve">1.438m</w:t>
            </w:r>
            <w:r>
              <w:br w:type="textWrapping"/>
            </w:r>
          </w:p>
        </w:tc>
        <w:tc>
          <w:p>
            <w:pPr>
              <w:pStyle w:val="Compact"/>
              <w:jc w:val="left"/>
            </w:pPr>
            <w:r>
              <w:t xml:space="preserve">0.986m</w:t>
            </w:r>
            <w:r>
              <w:br w:type="textWrapping"/>
            </w:r>
          </w:p>
        </w:tc>
        <w:tc>
          <w:p>
            <w:pPr>
              <w:pStyle w:val="Compact"/>
              <w:jc w:val="left"/>
            </w:pPr>
            <w:r>
              <w:t xml:space="preserve">1.403m</w:t>
            </w:r>
            <w:r>
              <w:br w:type="textWrapping"/>
            </w:r>
          </w:p>
        </w:tc>
      </w:tr>
    </w:tbl>
    <w:sectPr w:rsidR="000B1BB4" w:rsidRPr="000B1BB4" w:rsidSect="00D65D8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venir Book">
    <w:panose1 w:val="02000503020000020003"/>
    <w:charset w:val="00"/>
    <w:family w:val="auto"/>
    <w:pitch w:val="variable"/>
    <w:sig w:usb0="800000AF" w:usb1="5000204A" w:usb2="00000000" w:usb3="00000000" w:csb0="0000009B" w:csb1="00000000"/>
  </w:font>
  <w:font w:name="News Gothic MT">
    <w:panose1 w:val="020B0504020203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Avenir Black">
    <w:panose1 w:val="020B08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5ad261d9"/>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4d36e06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BB4"/>
    <w:pPr>
      <w:spacing w:before="120" w:after="120"/>
    </w:pPr>
    <w:rPr>
      <w:rFonts w:ascii="Avenir Book" w:hAnsi="Avenir Book"/>
      <w:color w:val="28384B"/>
      <w:lang w:val="en-AU"/>
    </w:rPr>
  </w:style>
  <w:style w:type="paragraph" w:styleId="Heading1">
    <w:name w:val="heading 1"/>
    <w:basedOn w:val="Normal"/>
    <w:next w:val="Normal"/>
    <w:link w:val="Heading1Char"/>
    <w:uiPriority w:val="9"/>
    <w:qFormat/>
    <w:rsid w:val="000B1BB4"/>
    <w:pPr>
      <w:keepNext/>
      <w:keepLines/>
      <w:spacing w:before="480" w:after="0"/>
      <w:outlineLvl w:val="0"/>
    </w:pPr>
    <w:rPr>
      <w:rFonts w:ascii="News Gothic MT" w:eastAsiaTheme="majorEastAsia" w:hAnsi="News Gothic MT" w:cstheme="majorBidi"/>
      <w:b/>
      <w:bCs/>
      <w:color w:val="212F3E"/>
      <w:sz w:val="32"/>
      <w:szCs w:val="32"/>
    </w:rPr>
  </w:style>
  <w:style w:type="paragraph" w:styleId="Heading2">
    <w:name w:val="heading 2"/>
    <w:basedOn w:val="Normal"/>
    <w:next w:val="Normal"/>
    <w:link w:val="Heading2Char"/>
    <w:uiPriority w:val="9"/>
    <w:unhideWhenUsed/>
    <w:qFormat/>
    <w:rsid w:val="000B1BB4"/>
    <w:pPr>
      <w:keepNext/>
      <w:keepLines/>
      <w:spacing w:before="200"/>
      <w:outlineLvl w:val="1"/>
    </w:pPr>
    <w:rPr>
      <w:rFonts w:ascii="Avenir Black" w:eastAsiaTheme="majorEastAsia" w:hAnsi="Avenir Black"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BB4"/>
    <w:rPr>
      <w:rFonts w:ascii="News Gothic MT" w:eastAsiaTheme="majorEastAsia" w:hAnsi="News Gothic MT" w:cstheme="majorBidi"/>
      <w:b/>
      <w:bCs/>
      <w:color w:val="212F3E"/>
      <w:sz w:val="32"/>
      <w:szCs w:val="32"/>
      <w:lang w:val="en-AU"/>
    </w:rPr>
  </w:style>
  <w:style w:type="character" w:customStyle="1" w:styleId="Heading2Char">
    <w:name w:val="Heading 2 Char"/>
    <w:basedOn w:val="DefaultParagraphFont"/>
    <w:link w:val="Heading2"/>
    <w:uiPriority w:val="9"/>
    <w:rsid w:val="000B1BB4"/>
    <w:rPr>
      <w:rFonts w:ascii="Avenir Black" w:eastAsiaTheme="majorEastAsia" w:hAnsi="Avenir Black" w:cstheme="majorBidi"/>
      <w:b/>
      <w:bCs/>
      <w:color w:val="28384B"/>
      <w:sz w:val="26"/>
      <w:szCs w:val="26"/>
      <w:lang w:val="en-AU"/>
    </w:rPr>
  </w:style>
  <w:style w:type="paragraph" w:styleId="Title">
    <w:name w:val="Title"/>
    <w:basedOn w:val="Normal"/>
    <w:next w:val="Normal"/>
    <w:link w:val="TitleChar"/>
    <w:uiPriority w:val="10"/>
    <w:qFormat/>
    <w:rsid w:val="005457E9"/>
    <w:pPr>
      <w:pBdr>
        <w:bottom w:val="single" w:sz="8" w:space="4" w:color="4F81BD" w:themeColor="accent1"/>
      </w:pBdr>
      <w:spacing w:before="0" w:after="300"/>
      <w:contextualSpacing/>
    </w:pPr>
    <w:rPr>
      <w:rFonts w:eastAsiaTheme="majorEastAsia" w:cstheme="majorBidi"/>
      <w:color w:val="000000"/>
      <w:spacing w:val="5"/>
      <w:kern w:val="28"/>
      <w:sz w:val="52"/>
      <w:szCs w:val="52"/>
    </w:rPr>
  </w:style>
  <w:style w:type="character" w:customStyle="1" w:styleId="TitleChar">
    <w:name w:val="Title Char"/>
    <w:basedOn w:val="DefaultParagraphFont"/>
    <w:link w:val="Title"/>
    <w:uiPriority w:val="10"/>
    <w:rsid w:val="005457E9"/>
    <w:rPr>
      <w:rFonts w:ascii="Arial" w:eastAsiaTheme="majorEastAsia" w:hAnsi="Arial" w:cstheme="majorBidi"/>
      <w:color w:val="000000"/>
      <w:spacing w:val="5"/>
      <w:kern w:val="28"/>
      <w:sz w:val="52"/>
      <w:szCs w:val="52"/>
      <w:lang w:val="en-AU"/>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5" Target="media/rId25.png" /><Relationship Type="http://schemas.openxmlformats.org/officeDocument/2006/relationships/hyperlink" Id="rId45" Target="http://knowyourcouncil.vic.gov.au/guide-to-councils/council-elections" TargetMode="External" /><Relationship Type="http://schemas.openxmlformats.org/officeDocument/2006/relationships/hyperlink" Id="rId39" Target="http://maps.land.vic.gov.au/lassi/VicnamesUI.jsp" TargetMode="External" /><Relationship Type="http://schemas.openxmlformats.org/officeDocument/2006/relationships/hyperlink" Id="rId30" Target="http://www.alpineshire.vic.gov.au" TargetMode="External" /><Relationship Type="http://schemas.openxmlformats.org/officeDocument/2006/relationships/hyperlink" Id="rId31" Target="http://www.alpineshire.vic.gov.au/Page/Page.aspx?Page_Id=1801" TargetMode="External" /><Relationship Type="http://schemas.openxmlformats.org/officeDocument/2006/relationships/hyperlink" Id="rId43" Target="http://www.alpineshire.vic.gov.au/council/our-council/corporate-plans-and-reports#annualreport" TargetMode="External" /><Relationship Type="http://schemas.openxmlformats.org/officeDocument/2006/relationships/hyperlink" Id="rId46" Target="http://www.localgovernment.vic.gov.au/council-governance/candidate-training" TargetMode="External" /><Relationship Type="http://schemas.openxmlformats.org/officeDocument/2006/relationships/hyperlink" Id="rId41" Target="http://www.localgovernment.vic.gov.au/our-programs/council-community-satisfaction-survey" TargetMode="External" /><Relationship Type="http://schemas.openxmlformats.org/officeDocument/2006/relationships/hyperlink" Id="rId37" Target="http://www.maggolee.org.au/wp-content/uploads/2015/09/LGA-Profile-Final-Alpine.pdf" TargetMode="External" /><Relationship Type="http://schemas.openxmlformats.org/officeDocument/2006/relationships/hyperlink" Id="rId35" Target="http://www.planning.vic.gov.au/__data/assets/pdf_file/0011/11441/Alpine_VIF_2016_One_Page_Profile_Output.pdf" TargetMode="External" /><Relationship Type="http://schemas.openxmlformats.org/officeDocument/2006/relationships/hyperlink" Id="rId47"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alpine" TargetMode="External" /><Relationship Type="http://schemas.openxmlformats.org/officeDocument/2006/relationships/hyperlink" Id="rId29" Target="mailto:info@alpineshire.vic.gov.au" TargetMode="External" /></Relationships>
</file>

<file path=word/_rels/footnotes.xml.rels><?xml version="1.0" encoding="UTF-8"?>
<Relationships xmlns="http://schemas.openxmlformats.org/package/2006/relationships"><Relationship Type="http://schemas.openxmlformats.org/officeDocument/2006/relationships/hyperlink" Id="rId45" Target="http://knowyourcouncil.vic.gov.au/guide-to-councils/council-elections" TargetMode="External" /><Relationship Type="http://schemas.openxmlformats.org/officeDocument/2006/relationships/hyperlink" Id="rId39" Target="http://maps.land.vic.gov.au/lassi/VicnamesUI.jsp" TargetMode="External" /><Relationship Type="http://schemas.openxmlformats.org/officeDocument/2006/relationships/hyperlink" Id="rId30" Target="http://www.alpineshire.vic.gov.au" TargetMode="External" /><Relationship Type="http://schemas.openxmlformats.org/officeDocument/2006/relationships/hyperlink" Id="rId31" Target="http://www.alpineshire.vic.gov.au/Page/Page.aspx?Page_Id=1801" TargetMode="External" /><Relationship Type="http://schemas.openxmlformats.org/officeDocument/2006/relationships/hyperlink" Id="rId43" Target="http://www.alpineshire.vic.gov.au/council/our-council/corporate-plans-and-reports#annualreport" TargetMode="External" /><Relationship Type="http://schemas.openxmlformats.org/officeDocument/2006/relationships/hyperlink" Id="rId46" Target="http://www.localgovernment.vic.gov.au/council-governance/candidate-training" TargetMode="External" /><Relationship Type="http://schemas.openxmlformats.org/officeDocument/2006/relationships/hyperlink" Id="rId41" Target="http://www.localgovernment.vic.gov.au/our-programs/council-community-satisfaction-survey" TargetMode="External" /><Relationship Type="http://schemas.openxmlformats.org/officeDocument/2006/relationships/hyperlink" Id="rId37" Target="http://www.maggolee.org.au/wp-content/uploads/2015/09/LGA-Profile-Final-Alpine.pdf" TargetMode="External" /><Relationship Type="http://schemas.openxmlformats.org/officeDocument/2006/relationships/hyperlink" Id="rId35" Target="http://www.planning.vic.gov.au/__data/assets/pdf_file/0011/11441/Alpine_VIF_2016_One_Page_Profile_Output.pdf" TargetMode="External" /><Relationship Type="http://schemas.openxmlformats.org/officeDocument/2006/relationships/hyperlink" Id="rId47" Target="http://www.vec.vic.gov.au/" TargetMode="External" /><Relationship Type="http://schemas.openxmlformats.org/officeDocument/2006/relationships/hyperlink" Id="rId33" Target="https://knowyourcouncil.vic.gov.au/__data/assets/pdf_file/0009/29439/DOC-15-313642-Victorian-Local-Government-Comparator-Groups-2015-FINAL.pdf" TargetMode="External" /><Relationship Type="http://schemas.openxmlformats.org/officeDocument/2006/relationships/hyperlink" Id="rId26" Target="https://knowyourcouncil.vic.gov.au/councils/alpine" TargetMode="External" /><Relationship Type="http://schemas.openxmlformats.org/officeDocument/2006/relationships/hyperlink" Id="rId29" Target="mailto:info@alpineshire.vic.gov.a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0</Lines>
  <Paragraphs>0</Paragraphs>
  <ScaleCrop>false</ScaleCrop>
  <Company>Ladoo</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