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word/document.xml" ContentType="application/vnd.openxmlformats-officedocument.wordprocessingml.document.main+xml"/>
  <Override PartName="/word/footnotes.xml" ContentType="application/vnd.openxmlformats-officedocument.wordprocessingml.footnotes+xml"/>
  <Override PartName="/word/media/rId25.png" ContentType="image/png"/>
</Types>
</file>

<file path=_rels/.rels><?xml version="1.0" encoding="UTF-8"?>
<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FirstParagraph"/>
      </w:pPr>
      <w:r>
        <w:drawing>
          <wp:inline>
            <wp:extent cx="4495800" cy="673100"/>
            <wp:effectExtent b="0" l="0" r="0" t="0"/>
            <wp:docPr descr="" id="1" name="Picture"/>
            <a:graphic>
              <a:graphicData uri="http://schemas.openxmlformats.org/drawingml/2006/picture">
                <pic:pic>
                  <pic:nvPicPr>
                    <pic:cNvPr descr="https://knowyourcouncil.vic.gov.au/__data/assets/image/0007/18898/logo-big.png" id="0" name="Picture"/>
                    <pic:cNvPicPr>
                      <a:picLocks noChangeArrowheads="1" noChangeAspect="1"/>
                    </pic:cNvPicPr>
                  </pic:nvPicPr>
                  <pic:blipFill>
                    <a:blip r:embed="rId25"/>
                    <a:stretch>
                      <a:fillRect/>
                    </a:stretch>
                  </pic:blipFill>
                  <pic:spPr bwMode="auto">
                    <a:xfrm>
                      <a:off x="0" y="0"/>
                      <a:ext cx="4495800" cy="673100"/>
                    </a:xfrm>
                    <a:prstGeom prst="rect">
                      <a:avLst/>
                    </a:prstGeom>
                    <a:noFill/>
                    <a:ln w="9525">
                      <a:noFill/>
                      <a:headEnd/>
                      <a:tailEnd/>
                    </a:ln>
                  </pic:spPr>
                </pic:pic>
              </a:graphicData>
            </a:graphic>
          </wp:inline>
        </w:drawing>
      </w:r>
      <w:r>
        <w:t xml:space="preserve"> </w:t>
      </w:r>
      <w:hyperlink r:id="rId26">
        <w:r>
          <w:rPr>
            <w:rStyle w:val="Hyperlink"/>
          </w:rPr>
          <w:t xml:space="preserve">https://knowyourcouncil.vic.gov.au/councils/ararat</w:t>
        </w:r>
      </w:hyperlink>
    </w:p>
    <w:p>
      <w:pPr>
        <w:pStyle w:val="Heading1"/>
      </w:pPr>
      <w:bookmarkStart w:id="27" w:name="ararat-rural-city"/>
      <w:bookmarkEnd w:id="27"/>
      <w:r>
        <w:t xml:space="preserve">Ararat Rural City</w:t>
      </w:r>
    </w:p>
    <w:p>
      <w:pPr>
        <w:pStyle w:val="Heading2"/>
      </w:pPr>
      <w:bookmarkStart w:id="28" w:name="contact-information"/>
      <w:bookmarkEnd w:id="28"/>
      <w:r>
        <w:t xml:space="preserve">Contact Information</w:t>
      </w:r>
    </w:p>
    <w:p>
      <w:pPr>
        <w:pStyle w:val="Compact"/>
        <w:numPr>
          <w:numId w:val="1001"/>
          <w:ilvl w:val="0"/>
        </w:numPr>
      </w:pPr>
      <w:r>
        <w:t xml:space="preserve">Address:</w:t>
      </w:r>
      <w:r>
        <w:t xml:space="preserve"> </w:t>
      </w:r>
      <w:r>
        <w:t xml:space="preserve">59 Vincent St, ARARAT 3377</w:t>
      </w:r>
    </w:p>
    <w:p>
      <w:pPr>
        <w:pStyle w:val="Compact"/>
        <w:numPr>
          <w:numId w:val="1001"/>
          <w:ilvl w:val="0"/>
        </w:numPr>
      </w:pPr>
      <w:r>
        <w:t xml:space="preserve">Postal:</w:t>
      </w:r>
      <w:r>
        <w:t xml:space="preserve"> </w:t>
      </w:r>
      <w:r>
        <w:t xml:space="preserve">PO Box 246, ARARAT 3377</w:t>
      </w:r>
    </w:p>
    <w:p>
      <w:pPr>
        <w:pStyle w:val="Compact"/>
        <w:numPr>
          <w:numId w:val="1001"/>
          <w:ilvl w:val="0"/>
        </w:numPr>
      </w:pPr>
      <w:r>
        <w:t xml:space="preserve">Phone:</w:t>
      </w:r>
      <w:r>
        <w:t xml:space="preserve"> </w:t>
      </w:r>
      <w:r>
        <w:t xml:space="preserve">03 5355 0200</w:t>
      </w:r>
    </w:p>
    <w:p>
      <w:pPr>
        <w:pStyle w:val="Compact"/>
        <w:numPr>
          <w:numId w:val="1001"/>
          <w:ilvl w:val="0"/>
        </w:numPr>
      </w:pPr>
      <w:r>
        <w:t xml:space="preserve">Fax:</w:t>
      </w:r>
      <w:r>
        <w:t xml:space="preserve"> </w:t>
      </w:r>
      <w:r>
        <w:t xml:space="preserve">03 5352 1695</w:t>
      </w:r>
    </w:p>
    <w:p>
      <w:pPr>
        <w:pStyle w:val="Compact"/>
        <w:numPr>
          <w:numId w:val="1001"/>
          <w:ilvl w:val="0"/>
        </w:numPr>
      </w:pPr>
      <w:r>
        <w:t xml:space="preserve">Contact:</w:t>
      </w:r>
      <w:r>
        <w:t xml:space="preserve"> </w:t>
      </w:r>
      <w:r>
        <w:t xml:space="preserve"> </w:t>
      </w:r>
      <w:hyperlink r:id="rId29">
        <w:r>
          <w:rPr>
            <w:rStyle w:val="Hyperlink"/>
          </w:rPr>
          <w:t xml:space="preserve">council@ararat.vic.gov.au</w:t>
        </w:r>
      </w:hyperlink>
      <w:r>
        <w:t xml:space="preserve"> </w:t>
      </w:r>
    </w:p>
    <w:p>
      <w:pPr>
        <w:pStyle w:val="Compact"/>
        <w:numPr>
          <w:numId w:val="1001"/>
          <w:ilvl w:val="0"/>
        </w:numPr>
      </w:pPr>
      <w:r>
        <w:t xml:space="preserve">Web:</w:t>
      </w:r>
      <w:r>
        <w:t xml:space="preserve"> </w:t>
      </w:r>
      <w:hyperlink r:id="rId30">
        <w:r>
          <w:rPr>
            <w:rStyle w:val="Hyperlink"/>
          </w:rPr>
          <w:t xml:space="preserve">http://www.ararat.vic.gov.au</w:t>
        </w:r>
      </w:hyperlink>
    </w:p>
    <w:p>
      <w:pPr>
        <w:pStyle w:val="Compact"/>
        <w:numPr>
          <w:numId w:val="1001"/>
          <w:ilvl w:val="0"/>
        </w:numPr>
      </w:pPr>
      <w:r>
        <w:t xml:space="preserve">Mayor:</w:t>
      </w:r>
      <w:r>
        <w:t xml:space="preserve"> </w:t>
      </w:r>
      <w:r>
        <w:t xml:space="preserve">Cr Jo Armstrong</w:t>
      </w:r>
    </w:p>
    <w:p>
      <w:pPr>
        <w:pStyle w:val="Compact"/>
        <w:numPr>
          <w:numId w:val="1001"/>
          <w:ilvl w:val="0"/>
        </w:numPr>
      </w:pPr>
      <w:r>
        <w:t xml:space="preserve">CEO:</w:t>
      </w:r>
      <w:r>
        <w:t xml:space="preserve"> </w:t>
      </w:r>
      <w:r>
        <w:t xml:space="preserve">Dr Tim Harrison</w:t>
      </w:r>
    </w:p>
    <w:p>
      <w:pPr>
        <w:pStyle w:val="Compact"/>
        <w:numPr>
          <w:numId w:val="1001"/>
          <w:ilvl w:val="0"/>
        </w:numPr>
      </w:pPr>
      <w:r>
        <w:t xml:space="preserve">Service Seeker:</w:t>
      </w:r>
      <w:r>
        <w:t xml:space="preserve"> </w:t>
      </w:r>
      <w:hyperlink r:id="rId31"/>
    </w:p>
    <w:p>
      <w:pPr>
        <w:pStyle w:val="Heading2"/>
      </w:pPr>
      <w:bookmarkStart w:id="32" w:name="profile"/>
      <w:bookmarkEnd w:id="32"/>
      <w:r>
        <w:t xml:space="preserve">Profile</w:t>
      </w:r>
    </w:p>
    <w:p>
      <w:pPr>
        <w:pStyle w:val="FirstParagraph"/>
      </w:pPr>
      <w:r>
        <w:t xml:space="preserve">Ararat Rural City is a versatile primary production area famous for its premium viticulture and wine industry, quality merino wool, and cropping and manufacturing industries.</w:t>
      </w:r>
    </w:p>
    <w:p>
      <w:pPr>
        <w:pStyle w:val="BodyText"/>
      </w:pPr>
      <w:r>
        <w:t xml:space="preserve">Ararat Rural City forms a 'gateway' to important tourism destinations such as the Grampians Ranges, Pyrenees Ranges, Mt Langi Ghiran, Mt Cole and Lake Bolac. </w:t>
      </w:r>
      <w:r>
        <w:t xml:space="preserve">Ararat (pop. 7,500) is the district retail hub.</w:t>
      </w:r>
    </w:p>
    <w:p>
      <w:pPr>
        <w:pStyle w:val="BodyText"/>
      </w:pPr>
      <w:r>
        <w:t xml:space="preserve">Ararat is located 200 kilometres west of Melbourne on the Western Highway at the junction of several major highways.</w:t>
      </w:r>
    </w:p>
    <w:p>
      <w:pPr>
        <w:pStyle w:val="BodyText"/>
      </w:pPr>
      <w:r>
        <w:t xml:space="preserve">Ararat is part of the Small Shire council grouping and can be compared with similar councils. More information on council groupings can be found</w:t>
      </w:r>
      <w:r>
        <w:t xml:space="preserve"> </w:t>
      </w:r>
      <w:hyperlink r:id="rId33">
        <w:r>
          <w:rPr>
            <w:rStyle w:val="Hyperlink"/>
          </w:rPr>
          <w:t xml:space="preserve">here</w:t>
        </w:r>
      </w:hyperlink>
      <w:r>
        <w:t xml:space="preserve">.</w:t>
      </w:r>
    </w:p>
    <w:p>
      <w:pPr>
        <w:pStyle w:val="Heading3"/>
      </w:pPr>
      <w:bookmarkStart w:id="34" w:name="victoria-in-future-profile"/>
      <w:bookmarkEnd w:id="34"/>
      <w:r>
        <w:t xml:space="preserve">Victoria in Future Profile</w:t>
      </w:r>
    </w:p>
    <w:p>
      <w:pPr>
        <w:pStyle w:val="FirstParagraph"/>
      </w:pPr>
      <w:hyperlink r:id="rId35">
        <w:r>
          <w:rPr>
            <w:rStyle w:val="Hyperlink"/>
          </w:rPr>
          <w:t xml:space="preserve">Ararat - Victoria in Future 2016</w:t>
        </w:r>
      </w:hyperlink>
      <w:r>
        <w:t xml:space="preserve"> </w:t>
      </w:r>
    </w:p>
    <w:p>
      <w:pPr>
        <w:pStyle w:val="Heading3"/>
      </w:pPr>
      <w:bookmarkStart w:id="36" w:name="aboriginal-community-profile"/>
      <w:bookmarkEnd w:id="36"/>
      <w:r>
        <w:t xml:space="preserve">Aboriginal Community Profile</w:t>
      </w:r>
    </w:p>
    <w:p>
      <w:pPr>
        <w:pStyle w:val="FirstParagraph"/>
      </w:pPr>
      <w:hyperlink r:id="rId37">
        <w:r>
          <w:rPr>
            <w:rStyle w:val="Hyperlink"/>
          </w:rPr>
          <w:t xml:space="preserve">Ararat Aboriginal Community Profile (includes Aboriginal organisations)</w:t>
        </w:r>
      </w:hyperlink>
      <w:r>
        <w:t xml:space="preserve"> </w:t>
      </w:r>
    </w:p>
    <w:p>
      <w:pPr>
        <w:pStyle w:val="Heading3"/>
      </w:pPr>
      <w:bookmarkStart w:id="38" w:name="section"/>
      <w:bookmarkEnd w:id="38"/>
      <w:r>
        <w:t xml:space="preserve"> </w:t>
      </w:r>
    </w:p>
    <w:p>
      <w:pPr>
        <w:pStyle w:val="Heading2"/>
      </w:pPr>
      <w:bookmarkStart w:id="39" w:name="localities"/>
      <w:bookmarkEnd w:id="39"/>
      <w:r>
        <w:t xml:space="preserve">Localities</w:t>
      </w:r>
    </w:p>
    <w:p>
      <w:pPr>
        <w:pStyle w:val="FirstParagraph"/>
      </w:pPr>
      <w:r>
        <w:t xml:space="preserve">Ararat, Armstrong, Ballyrogan, Bayindeen, Black Range, Bornes Hill, Buangor, Carranballac, Cathcart, Chatsworth, Crowlands, Denicull Creek, Dobie, Dunkeld, Dunneworthy, Elmhurst, Eversley, Glenlogie, Glenthompson, Great Western, Halls Gap, Lake Bolac, Langi Logan, Mafeking, Maroona, Middle Creek, Mininera, Mount Cole, Mount Cole Creek, Moyston, Narrapumelap South, Nerrin Nerrin, Norval, Pomonal, Pura Pura, Rhymney, Rocky Point, Rossbridge, Stavely, Stoneleigh, Streatham, Tatyoon, Warrak, Westmere, Wickliffe, Willaura, Woorndoo and Yalla-Y-Poora.</w:t>
      </w:r>
    </w:p>
    <w:p>
      <w:pPr>
        <w:pStyle w:val="BodyText"/>
      </w:pPr>
      <w:r>
        <w:t xml:space="preserve">For a detailed map showing shire boundaries and locality names, visit </w:t>
      </w:r>
      <w:hyperlink r:id="rId40">
        <w:r>
          <w:rPr>
            <w:rStyle w:val="Hyperlink"/>
          </w:rPr>
          <w:t xml:space="preserve">VICNAMES</w:t>
        </w:r>
      </w:hyperlink>
      <w:r>
        <w:t xml:space="preserve">.</w:t>
      </w:r>
    </w:p>
    <w:p>
      <w:pPr>
        <w:pStyle w:val="Heading2"/>
      </w:pPr>
      <w:bookmarkStart w:id="41" w:name="community-satisfaction"/>
      <w:bookmarkEnd w:id="41"/>
      <w:r>
        <w:t xml:space="preserve">Community Satisfaction</w:t>
      </w:r>
    </w:p>
    <w:p>
      <w:pPr>
        <w:pStyle w:val="FirstParagraph"/>
      </w:pPr>
      <w:hyperlink r:id="rId42">
        <w:r>
          <w:rPr>
            <w:rStyle w:val="Hyperlink"/>
          </w:rPr>
          <w:t xml:space="preserve">Ararat Rural City Council Local Government Community Satisfaction Survey Results</w:t>
        </w:r>
      </w:hyperlink>
      <w:r>
        <w:br w:type="textWrapping"/>
      </w:r>
    </w:p>
    <w:p>
      <w:pPr>
        <w:pStyle w:val="Heading2"/>
      </w:pPr>
      <w:bookmarkStart w:id="43" w:name="annual-report"/>
      <w:bookmarkEnd w:id="43"/>
      <w:r>
        <w:t xml:space="preserve">Annual Report</w:t>
      </w:r>
    </w:p>
    <w:p>
      <w:pPr>
        <w:pStyle w:val="FirstParagraph"/>
      </w:pPr>
      <w:hyperlink r:id="rId44">
        <w:r>
          <w:rPr>
            <w:rStyle w:val="Hyperlink"/>
          </w:rPr>
          <w:t xml:space="preserve">Ararat Rural City Council Annual Report 2019/20</w:t>
        </w:r>
      </w:hyperlink>
    </w:p>
    <w:p>
      <w:pPr>
        <w:pStyle w:val="Heading2"/>
      </w:pPr>
      <w:bookmarkStart w:id="45" w:name="elections"/>
      <w:bookmarkEnd w:id="45"/>
      <w:r>
        <w:t xml:space="preserve">Elections</w:t>
      </w:r>
    </w:p>
    <w:p>
      <w:pPr>
        <w:pStyle w:val="FirstParagraph"/>
      </w:pPr>
      <w:r>
        <w:t xml:space="preserve">For further information regarding Local Government elections visit:</w:t>
      </w:r>
    </w:p>
    <w:p>
      <w:pPr>
        <w:pStyle w:val="Compact"/>
      </w:pPr>
      <w:hyperlink r:id="rId46"/>
    </w:p>
    <w:p>
      <w:pPr>
        <w:pStyle w:val="Compact"/>
        <w:numPr>
          <w:numId w:val="1002"/>
          <w:ilvl w:val="0"/>
        </w:numPr>
      </w:pPr>
      <w:hyperlink r:id="rId47">
        <w:r>
          <w:rPr>
            <w:rStyle w:val="Hyperlink"/>
          </w:rPr>
          <w:t xml:space="preserve">Local Government Victoria</w:t>
        </w:r>
      </w:hyperlink>
    </w:p>
    <w:p>
      <w:pPr>
        <w:pStyle w:val="Compact"/>
        <w:numPr>
          <w:numId w:val="1002"/>
          <w:ilvl w:val="0"/>
        </w:numPr>
      </w:pPr>
      <w:hyperlink r:id="rId48">
        <w:r>
          <w:rPr>
            <w:rStyle w:val="Hyperlink"/>
          </w:rPr>
          <w:t xml:space="preserve">Victorian Electoral Commission</w:t>
        </w:r>
      </w:hyperlink>
      <w:r>
        <w:t xml:space="preserve"> </w:t>
      </w:r>
    </w:p>
    <w:p>
      <w:pPr>
        <w:pStyle w:val="Heading2"/>
      </w:pPr>
      <w:bookmarkStart w:id="49" w:name="councillors"/>
      <w:bookmarkEnd w:id="49"/>
      <w:r>
        <w:t xml:space="preserve">Councillors</w:t>
      </w:r>
    </w:p>
    <w:p>
      <w:pPr>
        <w:pStyle w:val="FirstParagraph"/>
      </w:pPr>
      <w:r>
        <w:t xml:space="preserve">7 Councillors elected in October 2020.</w:t>
      </w:r>
    </w:p>
    <w:p>
      <w:pPr>
        <w:pStyle w:val="BodyText"/>
      </w:pPr>
      <w:r>
        <w:t xml:space="preserve"> </w:t>
      </w:r>
    </w:p>
    <w:p>
      <w:pPr>
        <w:pStyle w:val="BodyText"/>
      </w:pPr>
      <w:r>
        <w:t xml:space="preserve">Unsubdivided - Cr Gwenda Allgood </w:t>
      </w:r>
    </w:p>
    <w:p>
      <w:pPr>
        <w:pStyle w:val="BodyText"/>
      </w:pPr>
      <w:r>
        <w:t xml:space="preserve">Unsubdivided - Cr Jo Armstrong - Mayor</w:t>
      </w:r>
    </w:p>
    <w:p>
      <w:pPr>
        <w:pStyle w:val="BodyText"/>
      </w:pPr>
      <w:r>
        <w:t xml:space="preserve">Unsubdivided - Cr Peter Beales - Deputy Mayor</w:t>
      </w:r>
    </w:p>
    <w:p>
      <w:pPr>
        <w:pStyle w:val="BodyText"/>
      </w:pPr>
      <w:r>
        <w:t xml:space="preserve">Unsubdivided - Cr Rob Armstrong</w:t>
      </w:r>
    </w:p>
    <w:p>
      <w:pPr>
        <w:pStyle w:val="BodyText"/>
      </w:pPr>
      <w:r>
        <w:t xml:space="preserve">Unsubdivided - Cr Henry Burridge</w:t>
      </w:r>
    </w:p>
    <w:p>
      <w:pPr>
        <w:pStyle w:val="BodyText"/>
      </w:pPr>
      <w:r>
        <w:t xml:space="preserve">Unsubdivided - Cr Bob Sanders</w:t>
      </w:r>
    </w:p>
    <w:p>
      <w:pPr>
        <w:pStyle w:val="BodyText"/>
      </w:pPr>
      <w:r>
        <w:t xml:space="preserve">Unsubdivided - Cr William Waterston</w:t>
      </w:r>
    </w:p>
    <w:p>
      <w:pPr>
        <w:pStyle w:val="Heading2"/>
      </w:pPr>
      <w:bookmarkStart w:id="50" w:name="population-data"/>
      <w:bookmarkEnd w:id="50"/>
      <w:r>
        <w:t xml:space="preserve">Population data</w:t>
      </w:r>
    </w:p>
    <w:p>
      <w:pPr>
        <w:pStyle w:val="FirstParagraph"/>
      </w:pPr>
      <w:r>
        <w:t xml:space="preserve">Estimated resident population. Source: Victoria in Future 2016 - Population and Household Projections to 2031</w:t>
      </w:r>
    </w:p>
    <w:p>
      <w:pPr>
        <w:pStyle w:val="Compact"/>
        <w:numPr>
          <w:numId w:val="1003"/>
          <w:ilvl w:val="0"/>
        </w:numPr>
      </w:pPr>
      <w:r>
        <w:rPr>
          <w:b/>
        </w:rPr>
        <w:t xml:space="preserve">2016 </w:t>
      </w:r>
      <w:r>
        <w:t xml:space="preserve">10,952  </w:t>
      </w:r>
    </w:p>
    <w:p>
      <w:pPr>
        <w:pStyle w:val="Compact"/>
        <w:numPr>
          <w:numId w:val="1003"/>
          <w:ilvl w:val="0"/>
        </w:numPr>
      </w:pPr>
      <w:r>
        <w:rPr>
          <w:b/>
        </w:rPr>
        <w:t xml:space="preserve">2021 </w:t>
      </w:r>
      <w:r>
        <w:t xml:space="preserve">10,706  </w:t>
      </w:r>
    </w:p>
    <w:p>
      <w:pPr>
        <w:pStyle w:val="Compact"/>
        <w:numPr>
          <w:numId w:val="1003"/>
          <w:ilvl w:val="0"/>
        </w:numPr>
      </w:pPr>
      <w:r>
        <w:rPr>
          <w:b/>
        </w:rPr>
        <w:t xml:space="preserve">2026 </w:t>
      </w:r>
      <w:r>
        <w:t xml:space="preserve">10,618  </w:t>
      </w:r>
    </w:p>
    <w:p>
      <w:pPr>
        <w:pStyle w:val="Compact"/>
        <w:numPr>
          <w:numId w:val="1003"/>
          <w:ilvl w:val="0"/>
        </w:numPr>
      </w:pPr>
      <w:r>
        <w:rPr>
          <w:b/>
        </w:rPr>
        <w:t xml:space="preserve">2031 </w:t>
      </w:r>
      <w:r>
        <w:t xml:space="preserve">10,614 </w:t>
      </w:r>
    </w:p>
    <w:p>
      <w:pPr>
        <w:pStyle w:val="Heading2"/>
      </w:pPr>
      <w:bookmarkStart w:id="51" w:name="finances"/>
      <w:bookmarkEnd w:id="51"/>
      <w:r>
        <w:t xml:space="preserve">Finances</w:t>
      </w:r>
    </w:p>
    <w:p>
      <w:pPr>
        <w:pStyle w:val="FirstParagraph"/>
      </w:pPr>
      <w:r>
        <w:t xml:space="preserve">Source: Victoria Grants Commission.</w:t>
      </w:r>
      <w:r>
        <w:br w:type="textWrapping"/>
      </w:r>
      <w:r>
        <w:t xml:space="preserve">The figures in the bottom two rows of the table show combined one-off and ongoing funding received by council from both the Federal and State Governments. It is important to note that this amount can change significantly from year to year as individual government funding programs change and natural events such as fires and floods occur.</w:t>
      </w:r>
    </w:p>
    <w:p>
      <w:pPr>
        <w:pStyle w:val="BodyText"/>
      </w:pPr>
      <w:r>
        <w:t xml:space="preserve">Data shows the amount allocated in respect of the relevant financial year. In some years, that amount will vary from the payments received that year, as a result of the Commonwealth "bringing forward" some payments.</w:t>
      </w:r>
    </w:p>
    <w:tbl>
      <w:tblPr>
        <w:tblStyle w:val="TableNormal"/>
        <w:tblW w:type="pct" w:w="0.0"/>
        <w:tblLook w:firstRow="1"/>
      </w:tblPr>
      <w:tblGrid/>
      <w:tr>
        <w:trPr>
          <w:cnfStyle w:firstRow="1"/>
        </w:trPr>
        <w:tc>
          <w:tcPr>
            <w:tcBorders>
              <w:bottom w:val="single"/>
            </w:tcBorders>
            <w:vAlign w:val="bottom"/>
          </w:tcPr>
          <w:p>
            <w:pPr>
              <w:pStyle w:val="Compact"/>
              <w:jc w:val="left"/>
            </w:pPr>
            <w:r>
              <w:t xml:space="preserve"> </w:t>
            </w:r>
          </w:p>
        </w:tc>
        <w:tc>
          <w:tcPr>
            <w:tcBorders>
              <w:bottom w:val="single"/>
            </w:tcBorders>
            <w:vAlign w:val="bottom"/>
          </w:tcPr>
          <w:p>
            <w:pPr>
              <w:pStyle w:val="Compact"/>
              <w:jc w:val="left"/>
            </w:pPr>
            <w:r>
              <w:t xml:space="preserve">2018-19</w:t>
            </w:r>
          </w:p>
        </w:tc>
        <w:tc>
          <w:tcPr>
            <w:tcBorders>
              <w:bottom w:val="single"/>
            </w:tcBorders>
            <w:vAlign w:val="bottom"/>
          </w:tcPr>
          <w:p>
            <w:pPr>
              <w:pStyle w:val="Compact"/>
              <w:jc w:val="left"/>
            </w:pPr>
            <w:r>
              <w:t xml:space="preserve">2017-18</w:t>
            </w:r>
          </w:p>
        </w:tc>
        <w:tc>
          <w:tcPr>
            <w:tcBorders>
              <w:bottom w:val="single"/>
            </w:tcBorders>
            <w:vAlign w:val="bottom"/>
          </w:tcPr>
          <w:p>
            <w:pPr>
              <w:pStyle w:val="Compact"/>
              <w:jc w:val="left"/>
            </w:pPr>
            <w:r>
              <w:t xml:space="preserve">2016-17</w:t>
            </w:r>
          </w:p>
        </w:tc>
        <w:tc>
          <w:tcPr>
            <w:tcBorders>
              <w:bottom w:val="single"/>
            </w:tcBorders>
            <w:vAlign w:val="bottom"/>
          </w:tcPr>
          <w:p>
            <w:pPr>
              <w:pStyle w:val="Compact"/>
              <w:jc w:val="left"/>
            </w:pPr>
            <w:r>
              <w:t xml:space="preserve">2015-16</w:t>
            </w:r>
          </w:p>
        </w:tc>
        <w:tc>
          <w:tcPr>
            <w:tcBorders>
              <w:bottom w:val="single"/>
            </w:tcBorders>
            <w:vAlign w:val="bottom"/>
          </w:tcPr>
          <w:p>
            <w:pPr>
              <w:pStyle w:val="Compact"/>
              <w:jc w:val="left"/>
            </w:pPr>
            <w:r>
              <w:t xml:space="preserve">2014-15</w:t>
            </w:r>
          </w:p>
        </w:tc>
        <w:tc>
          <w:tcPr>
            <w:tcBorders>
              <w:bottom w:val="single"/>
            </w:tcBorders>
            <w:vAlign w:val="bottom"/>
          </w:tcPr>
          <w:p>
            <w:pPr>
              <w:pStyle w:val="Compact"/>
              <w:jc w:val="left"/>
            </w:pPr>
            <w:r>
              <w:t xml:space="preserve">2013-14</w:t>
            </w:r>
          </w:p>
        </w:tc>
        <w:tc>
          <w:tcPr>
            <w:tcBorders>
              <w:bottom w:val="single"/>
            </w:tcBorders>
            <w:vAlign w:val="bottom"/>
          </w:tcPr>
          <w:p>
            <w:pPr>
              <w:pStyle w:val="Compact"/>
              <w:jc w:val="left"/>
            </w:pPr>
            <w:r>
              <w:t xml:space="preserve">2012-13</w:t>
            </w:r>
          </w:p>
        </w:tc>
        <w:tc>
          <w:tcPr>
            <w:tcBorders>
              <w:bottom w:val="single"/>
            </w:tcBorders>
            <w:vAlign w:val="bottom"/>
          </w:tcPr>
          <w:p>
            <w:pPr>
              <w:pStyle w:val="Compact"/>
              <w:jc w:val="left"/>
            </w:pPr>
            <w:r>
              <w:t xml:space="preserve">2011-12</w:t>
            </w:r>
          </w:p>
        </w:tc>
        <w:tc>
          <w:tcPr>
            <w:tcBorders>
              <w:bottom w:val="single"/>
            </w:tcBorders>
            <w:vAlign w:val="bottom"/>
          </w:tcPr>
          <w:p>
            <w:pPr>
              <w:pStyle w:val="Compact"/>
              <w:jc w:val="left"/>
            </w:pPr>
            <w:r>
              <w:t xml:space="preserve">2010-11</w:t>
            </w:r>
          </w:p>
        </w:tc>
        <w:tc>
          <w:tcPr>
            <w:tcBorders>
              <w:bottom w:val="single"/>
            </w:tcBorders>
            <w:vAlign w:val="bottom"/>
          </w:tcPr>
          <w:p>
            <w:pPr>
              <w:pStyle w:val="Compact"/>
              <w:jc w:val="left"/>
            </w:pPr>
            <w:r>
              <w:t xml:space="preserve">2009-10</w:t>
            </w:r>
          </w:p>
        </w:tc>
      </w:tr>
      <w:tr>
        <w:tc>
          <w:p>
            <w:pPr>
              <w:pStyle w:val="Compact"/>
              <w:jc w:val="left"/>
            </w:pPr>
            <w:r>
              <w:t xml:space="preserve">Recurrent Expenditure ($)</w:t>
            </w:r>
          </w:p>
        </w:tc>
        <w:tc>
          <w:p>
            <w:pPr>
              <w:pStyle w:val="Compact"/>
              <w:jc w:val="left"/>
            </w:pPr>
            <w:r>
              <w:t xml:space="preserve">30.185m</w:t>
            </w:r>
          </w:p>
        </w:tc>
        <w:tc>
          <w:p>
            <w:pPr>
              <w:pStyle w:val="Compact"/>
              <w:jc w:val="left"/>
            </w:pPr>
            <w:r>
              <w:t xml:space="preserve">29.213m</w:t>
            </w:r>
          </w:p>
        </w:tc>
        <w:tc>
          <w:p>
            <w:pPr>
              <w:pStyle w:val="Compact"/>
              <w:jc w:val="left"/>
            </w:pPr>
            <w:r>
              <w:t xml:space="preserve">28.205m</w:t>
            </w:r>
          </w:p>
        </w:tc>
        <w:tc>
          <w:p>
            <w:pPr>
              <w:pStyle w:val="Compact"/>
              <w:jc w:val="left"/>
            </w:pPr>
            <w:r>
              <w:t xml:space="preserve">26.441m</w:t>
            </w:r>
          </w:p>
        </w:tc>
        <w:tc>
          <w:p>
            <w:pPr>
              <w:pStyle w:val="Compact"/>
              <w:jc w:val="left"/>
            </w:pPr>
            <w:r>
              <w:t xml:space="preserve">25.922m</w:t>
            </w:r>
          </w:p>
        </w:tc>
        <w:tc>
          <w:p>
            <w:pPr>
              <w:pStyle w:val="Compact"/>
              <w:jc w:val="left"/>
            </w:pPr>
            <w:r>
              <w:t xml:space="preserve">23.222m</w:t>
            </w:r>
          </w:p>
        </w:tc>
        <w:tc>
          <w:p>
            <w:pPr>
              <w:pStyle w:val="Compact"/>
              <w:jc w:val="left"/>
            </w:pPr>
            <w:r>
              <w:t xml:space="preserve">26.932m</w:t>
            </w:r>
          </w:p>
        </w:tc>
        <w:tc>
          <w:p>
            <w:pPr>
              <w:pStyle w:val="Compact"/>
              <w:jc w:val="left"/>
            </w:pPr>
            <w:r>
              <w:t xml:space="preserve">31.545m</w:t>
            </w:r>
          </w:p>
        </w:tc>
        <w:tc>
          <w:p>
            <w:pPr>
              <w:pStyle w:val="Compact"/>
              <w:jc w:val="left"/>
            </w:pPr>
            <w:r>
              <w:t xml:space="preserve">22.457m</w:t>
            </w:r>
          </w:p>
        </w:tc>
        <w:tc>
          <w:p>
            <w:pPr>
              <w:pStyle w:val="Compact"/>
              <w:jc w:val="left"/>
            </w:pPr>
            <w:r>
              <w:t xml:space="preserve">20.288m</w:t>
            </w:r>
          </w:p>
        </w:tc>
      </w:tr>
      <w:tr>
        <w:tc>
          <w:p>
            <w:pPr>
              <w:pStyle w:val="Compact"/>
              <w:jc w:val="left"/>
            </w:pPr>
            <w:r>
              <w:t xml:space="preserve">Recurrent Revenue ($)</w:t>
            </w:r>
          </w:p>
        </w:tc>
        <w:tc>
          <w:p>
            <w:pPr>
              <w:pStyle w:val="Compact"/>
              <w:jc w:val="left"/>
            </w:pPr>
            <w:r>
              <w:t xml:space="preserve">34.082m</w:t>
            </w:r>
          </w:p>
        </w:tc>
        <w:tc>
          <w:p>
            <w:pPr>
              <w:pStyle w:val="Compact"/>
              <w:jc w:val="left"/>
            </w:pPr>
            <w:r>
              <w:t xml:space="preserve">32.801m</w:t>
            </w:r>
          </w:p>
        </w:tc>
        <w:tc>
          <w:p>
            <w:pPr>
              <w:pStyle w:val="Compact"/>
              <w:jc w:val="left"/>
            </w:pPr>
            <w:r>
              <w:t xml:space="preserve">32.853m</w:t>
            </w:r>
          </w:p>
        </w:tc>
        <w:tc>
          <w:p>
            <w:pPr>
              <w:pStyle w:val="Compact"/>
              <w:jc w:val="left"/>
            </w:pPr>
            <w:r>
              <w:t xml:space="preserve">26.343m</w:t>
            </w:r>
          </w:p>
        </w:tc>
        <w:tc>
          <w:p>
            <w:pPr>
              <w:pStyle w:val="Compact"/>
              <w:jc w:val="left"/>
            </w:pPr>
            <w:r>
              <w:t xml:space="preserve">29.904m</w:t>
            </w:r>
          </w:p>
        </w:tc>
        <w:tc>
          <w:p>
            <w:pPr>
              <w:pStyle w:val="Compact"/>
              <w:jc w:val="left"/>
            </w:pPr>
            <w:r>
              <w:t xml:space="preserve">24.055m</w:t>
            </w:r>
          </w:p>
        </w:tc>
        <w:tc>
          <w:p>
            <w:pPr>
              <w:pStyle w:val="Compact"/>
              <w:jc w:val="left"/>
            </w:pPr>
            <w:r>
              <w:t xml:space="preserve">28.769m</w:t>
            </w:r>
          </w:p>
        </w:tc>
        <w:tc>
          <w:p>
            <w:pPr>
              <w:pStyle w:val="Compact"/>
              <w:jc w:val="left"/>
            </w:pPr>
            <w:r>
              <w:t xml:space="preserve">31.949m</w:t>
            </w:r>
          </w:p>
        </w:tc>
        <w:tc>
          <w:p>
            <w:pPr>
              <w:pStyle w:val="Compact"/>
              <w:jc w:val="left"/>
            </w:pPr>
            <w:r>
              <w:t xml:space="preserve">23.953m</w:t>
            </w:r>
          </w:p>
        </w:tc>
        <w:tc>
          <w:p>
            <w:pPr>
              <w:pStyle w:val="Compact"/>
              <w:jc w:val="left"/>
            </w:pPr>
            <w:r>
              <w:t xml:space="preserve">19.937m</w:t>
            </w:r>
          </w:p>
        </w:tc>
      </w:tr>
      <w:tr>
        <w:tc>
          <w:p>
            <w:pPr>
              <w:pStyle w:val="Compact"/>
              <w:jc w:val="left"/>
            </w:pPr>
            <w:r>
              <w:t xml:space="preserve">- Rates and Charges</w:t>
            </w:r>
          </w:p>
        </w:tc>
        <w:tc>
          <w:p>
            <w:pPr>
              <w:pStyle w:val="Compact"/>
              <w:jc w:val="left"/>
            </w:pPr>
            <w:r>
              <w:t xml:space="preserve">16.908m</w:t>
            </w:r>
          </w:p>
        </w:tc>
        <w:tc>
          <w:p>
            <w:pPr>
              <w:pStyle w:val="Compact"/>
              <w:jc w:val="left"/>
            </w:pPr>
            <w:r>
              <w:t xml:space="preserve">16.512m</w:t>
            </w:r>
          </w:p>
        </w:tc>
        <w:tc>
          <w:p>
            <w:pPr>
              <w:pStyle w:val="Compact"/>
              <w:jc w:val="left"/>
            </w:pPr>
            <w:r>
              <w:t xml:space="preserve">15.908m</w:t>
            </w:r>
          </w:p>
        </w:tc>
        <w:tc>
          <w:p>
            <w:pPr>
              <w:pStyle w:val="Compact"/>
              <w:jc w:val="left"/>
            </w:pPr>
            <w:r>
              <w:t xml:space="preserve">15.266m</w:t>
            </w:r>
          </w:p>
        </w:tc>
        <w:tc>
          <w:p>
            <w:pPr>
              <w:pStyle w:val="Compact"/>
              <w:jc w:val="left"/>
            </w:pPr>
            <w:r>
              <w:t xml:space="preserve">14.572m</w:t>
            </w:r>
          </w:p>
        </w:tc>
        <w:tc>
          <w:p>
            <w:pPr>
              <w:pStyle w:val="Compact"/>
              <w:jc w:val="left"/>
            </w:pPr>
            <w:r>
              <w:t xml:space="preserve">13.799m</w:t>
            </w:r>
          </w:p>
        </w:tc>
        <w:tc>
          <w:p>
            <w:pPr>
              <w:pStyle w:val="Compact"/>
              <w:jc w:val="left"/>
            </w:pPr>
            <w:r>
              <w:t xml:space="preserve">12.946m</w:t>
            </w:r>
          </w:p>
        </w:tc>
        <w:tc>
          <w:p>
            <w:pPr>
              <w:pStyle w:val="Compact"/>
              <w:jc w:val="left"/>
            </w:pPr>
            <w:r>
              <w:t xml:space="preserve">11.836m</w:t>
            </w:r>
          </w:p>
        </w:tc>
        <w:tc>
          <w:p>
            <w:pPr>
              <w:pStyle w:val="Compact"/>
              <w:jc w:val="left"/>
            </w:pPr>
            <w:r>
              <w:t xml:space="preserve">11.059m</w:t>
            </w:r>
          </w:p>
        </w:tc>
        <w:tc>
          <w:p>
            <w:pPr>
              <w:pStyle w:val="Compact"/>
              <w:jc w:val="left"/>
            </w:pPr>
            <w:r>
              <w:t xml:space="preserve">10.542m</w:t>
            </w:r>
          </w:p>
        </w:tc>
      </w:tr>
      <w:tr>
        <w:tc>
          <w:p>
            <w:pPr>
              <w:pStyle w:val="Compact"/>
              <w:jc w:val="left"/>
            </w:pPr>
            <w:r>
              <w:t xml:space="preserve">- VGC Grants</w:t>
            </w:r>
          </w:p>
        </w:tc>
        <w:tc>
          <w:p>
            <w:pPr>
              <w:pStyle w:val="Compact"/>
              <w:jc w:val="left"/>
            </w:pPr>
            <w:r>
              <w:t xml:space="preserve">5.879m</w:t>
            </w:r>
          </w:p>
        </w:tc>
        <w:tc>
          <w:p>
            <w:pPr>
              <w:pStyle w:val="Compact"/>
              <w:jc w:val="left"/>
            </w:pPr>
            <w:r>
              <w:t xml:space="preserve">5.492m</w:t>
            </w:r>
          </w:p>
        </w:tc>
        <w:tc>
          <w:p>
            <w:pPr>
              <w:pStyle w:val="Compact"/>
              <w:jc w:val="left"/>
            </w:pPr>
            <w:r>
              <w:t xml:space="preserve">5.580m</w:t>
            </w:r>
          </w:p>
        </w:tc>
        <w:tc>
          <w:p>
            <w:pPr>
              <w:pStyle w:val="Compact"/>
              <w:jc w:val="left"/>
            </w:pPr>
            <w:r>
              <w:t xml:space="preserve">5.454m</w:t>
            </w:r>
          </w:p>
        </w:tc>
        <w:tc>
          <w:p>
            <w:pPr>
              <w:pStyle w:val="Compact"/>
              <w:jc w:val="left"/>
            </w:pPr>
            <w:r>
              <w:t xml:space="preserve">5.307m</w:t>
            </w:r>
          </w:p>
        </w:tc>
        <w:tc>
          <w:p>
            <w:pPr>
              <w:pStyle w:val="Compact"/>
              <w:jc w:val="left"/>
            </w:pPr>
            <w:r>
              <w:t xml:space="preserve">5.263m</w:t>
            </w:r>
          </w:p>
        </w:tc>
        <w:tc>
          <w:p>
            <w:pPr>
              <w:pStyle w:val="Compact"/>
              <w:jc w:val="left"/>
            </w:pPr>
            <w:r>
              <w:t xml:space="preserve">5.210m</w:t>
            </w:r>
          </w:p>
        </w:tc>
        <w:tc>
          <w:p>
            <w:pPr>
              <w:pStyle w:val="Compact"/>
              <w:jc w:val="left"/>
            </w:pPr>
            <w:r>
              <w:t xml:space="preserve">5.124m</w:t>
            </w:r>
          </w:p>
        </w:tc>
        <w:tc>
          <w:p>
            <w:pPr>
              <w:pStyle w:val="Compact"/>
              <w:jc w:val="left"/>
            </w:pPr>
            <w:r>
              <w:t xml:space="preserve">4.948m</w:t>
            </w:r>
          </w:p>
        </w:tc>
        <w:tc>
          <w:p>
            <w:pPr>
              <w:pStyle w:val="Compact"/>
              <w:jc w:val="left"/>
            </w:pPr>
            <w:r>
              <w:t xml:space="preserve">4.605m</w:t>
            </w:r>
          </w:p>
        </w:tc>
      </w:tr>
      <w:tr>
        <w:tc>
          <w:p>
            <w:pPr>
              <w:pStyle w:val="Compact"/>
              <w:jc w:val="left"/>
            </w:pPr>
            <w:r>
              <w:t xml:space="preserve">Non-Recurrent Government Grants</w:t>
            </w:r>
            <w:r>
              <w:br w:type="textWrapping"/>
            </w:r>
          </w:p>
        </w:tc>
        <w:tc>
          <w:p>
            <w:pPr>
              <w:pStyle w:val="Compact"/>
              <w:jc w:val="left"/>
            </w:pPr>
            <w:r>
              <w:t xml:space="preserve">6.497m</w:t>
            </w:r>
            <w:r>
              <w:br w:type="textWrapping"/>
            </w:r>
          </w:p>
        </w:tc>
        <w:tc>
          <w:p>
            <w:pPr>
              <w:pStyle w:val="Compact"/>
              <w:jc w:val="left"/>
            </w:pPr>
            <w:r>
              <w:t xml:space="preserve">4.746m</w:t>
            </w:r>
            <w:r>
              <w:br w:type="textWrapping"/>
            </w:r>
          </w:p>
        </w:tc>
        <w:tc>
          <w:p>
            <w:pPr>
              <w:pStyle w:val="Compact"/>
              <w:jc w:val="left"/>
            </w:pPr>
            <w:r>
              <w:t xml:space="preserve">3.818m</w:t>
            </w:r>
            <w:r>
              <w:br w:type="textWrapping"/>
            </w:r>
          </w:p>
        </w:tc>
        <w:tc>
          <w:p>
            <w:pPr>
              <w:pStyle w:val="Compact"/>
              <w:jc w:val="left"/>
            </w:pPr>
            <w:r>
              <w:t xml:space="preserve">1.703m</w:t>
            </w:r>
            <w:r>
              <w:br w:type="textWrapping"/>
            </w:r>
          </w:p>
        </w:tc>
        <w:tc>
          <w:p>
            <w:pPr>
              <w:pStyle w:val="Compact"/>
              <w:jc w:val="left"/>
            </w:pPr>
            <w:r>
              <w:t xml:space="preserve">2.616m</w:t>
            </w:r>
            <w:r>
              <w:br w:type="textWrapping"/>
            </w:r>
          </w:p>
        </w:tc>
        <w:tc>
          <w:p>
            <w:pPr>
              <w:pStyle w:val="Compact"/>
              <w:jc w:val="left"/>
            </w:pPr>
            <w:r>
              <w:t xml:space="preserve">3.571m</w:t>
            </w:r>
            <w:r>
              <w:br w:type="textWrapping"/>
            </w:r>
          </w:p>
        </w:tc>
        <w:tc>
          <w:p>
            <w:pPr>
              <w:pStyle w:val="Compact"/>
              <w:jc w:val="left"/>
            </w:pPr>
            <w:r>
              <w:t xml:space="preserve">6.480m</w:t>
            </w:r>
            <w:r>
              <w:br w:type="textWrapping"/>
            </w:r>
          </w:p>
        </w:tc>
        <w:tc>
          <w:p>
            <w:pPr>
              <w:pStyle w:val="Compact"/>
              <w:jc w:val="left"/>
            </w:pPr>
            <w:r>
              <w:t xml:space="preserve">9.201m</w:t>
            </w:r>
            <w:r>
              <w:br w:type="textWrapping"/>
            </w:r>
          </w:p>
        </w:tc>
        <w:tc>
          <w:p>
            <w:pPr>
              <w:pStyle w:val="Compact"/>
              <w:jc w:val="left"/>
            </w:pPr>
            <w:r>
              <w:t xml:space="preserve">3.896m</w:t>
            </w:r>
            <w:r>
              <w:br w:type="textWrapping"/>
            </w:r>
          </w:p>
        </w:tc>
        <w:tc>
          <w:p>
            <w:pPr>
              <w:pStyle w:val="Compact"/>
              <w:jc w:val="left"/>
            </w:pPr>
            <w:r>
              <w:t xml:space="preserve">1.056m</w:t>
            </w:r>
            <w:r>
              <w:br w:type="textWrapping"/>
            </w:r>
          </w:p>
        </w:tc>
      </w:tr>
      <w:tr>
        <w:tc>
          <w:p>
            <w:pPr>
              <w:pStyle w:val="Compact"/>
              <w:jc w:val="left"/>
            </w:pPr>
            <w:r>
              <w:t xml:space="preserve">Recurrent Government Grants</w:t>
            </w:r>
            <w:r>
              <w:br w:type="textWrapping"/>
            </w:r>
          </w:p>
        </w:tc>
        <w:tc>
          <w:p>
            <w:pPr>
              <w:pStyle w:val="Compact"/>
              <w:jc w:val="left"/>
            </w:pPr>
            <w:r>
              <w:t xml:space="preserve">8.282m</w:t>
            </w:r>
            <w:r>
              <w:br w:type="textWrapping"/>
            </w:r>
          </w:p>
        </w:tc>
        <w:tc>
          <w:p>
            <w:pPr>
              <w:pStyle w:val="Compact"/>
              <w:jc w:val="left"/>
            </w:pPr>
            <w:r>
              <w:t xml:space="preserve">8.739m</w:t>
            </w:r>
            <w:r>
              <w:br w:type="textWrapping"/>
            </w:r>
          </w:p>
        </w:tc>
        <w:tc>
          <w:p>
            <w:pPr>
              <w:pStyle w:val="Compact"/>
              <w:jc w:val="left"/>
            </w:pPr>
            <w:r>
              <w:t xml:space="preserve">10.624m</w:t>
            </w:r>
            <w:r>
              <w:br w:type="textWrapping"/>
            </w:r>
          </w:p>
        </w:tc>
        <w:tc>
          <w:p>
            <w:pPr>
              <w:pStyle w:val="Compact"/>
              <w:jc w:val="left"/>
            </w:pPr>
            <w:r>
              <w:t xml:space="preserve">6.903m</w:t>
            </w:r>
            <w:r>
              <w:br w:type="textWrapping"/>
            </w:r>
          </w:p>
        </w:tc>
        <w:tc>
          <w:p>
            <w:pPr>
              <w:pStyle w:val="Compact"/>
              <w:jc w:val="left"/>
            </w:pPr>
            <w:r>
              <w:t xml:space="preserve">2.097m</w:t>
            </w:r>
            <w:r>
              <w:br w:type="textWrapping"/>
            </w:r>
          </w:p>
        </w:tc>
        <w:tc>
          <w:p>
            <w:pPr>
              <w:pStyle w:val="Compact"/>
              <w:jc w:val="left"/>
            </w:pPr>
            <w:r>
              <w:t xml:space="preserve">2.091m</w:t>
            </w:r>
            <w:r>
              <w:br w:type="textWrapping"/>
            </w:r>
          </w:p>
        </w:tc>
        <w:tc>
          <w:p>
            <w:pPr>
              <w:pStyle w:val="Compact"/>
              <w:jc w:val="left"/>
            </w:pPr>
            <w:r>
              <w:t xml:space="preserve">2.098m</w:t>
            </w:r>
            <w:r>
              <w:br w:type="textWrapping"/>
            </w:r>
          </w:p>
        </w:tc>
        <w:tc>
          <w:p>
            <w:pPr>
              <w:pStyle w:val="Compact"/>
              <w:jc w:val="left"/>
            </w:pPr>
            <w:r>
              <w:t xml:space="preserve">1.999m</w:t>
            </w:r>
            <w:r>
              <w:br w:type="textWrapping"/>
            </w:r>
          </w:p>
        </w:tc>
        <w:tc>
          <w:p>
            <w:pPr>
              <w:pStyle w:val="Compact"/>
              <w:jc w:val="left"/>
            </w:pPr>
            <w:r>
              <w:t xml:space="preserve">1.854m</w:t>
            </w:r>
            <w:r>
              <w:br w:type="textWrapping"/>
            </w:r>
          </w:p>
        </w:tc>
        <w:tc>
          <w:p>
            <w:pPr>
              <w:pStyle w:val="Compact"/>
              <w:jc w:val="left"/>
            </w:pPr>
            <w:r>
              <w:t xml:space="preserve">1.858m</w:t>
            </w:r>
            <w:r>
              <w:br w:type="textWrapping"/>
            </w:r>
          </w:p>
        </w:tc>
      </w:tr>
    </w:tbl>
    <w:sectPr w:rsidR="000B1BB4" w:rsidRPr="000B1BB4" w:rsidSect="00D65D88">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Avenir Book">
    <w:panose1 w:val="02000503020000020003"/>
    <w:charset w:val="00"/>
    <w:family w:val="auto"/>
    <w:pitch w:val="variable"/>
    <w:sig w:usb0="800000AF" w:usb1="5000204A" w:usb2="00000000" w:usb3="00000000" w:csb0="0000009B" w:csb1="00000000"/>
  </w:font>
  <w:font w:name="News Gothic MT">
    <w:panose1 w:val="020B0504020203020204"/>
    <w:charset w:val="00"/>
    <w:family w:val="auto"/>
    <w:pitch w:val="variable"/>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Avenir Black">
    <w:panose1 w:val="020B0803020203020204"/>
    <w:charset w:val="00"/>
    <w:family w:val="auto"/>
    <w:pitch w:val="variable"/>
    <w:sig w:usb0="800000AF" w:usb1="5000204A" w:usb2="00000000" w:usb3="00000000" w:csb0="0000009B"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numbering.xml><?xml version="1.0" encoding="utf-8"?>
<w:numbering xmlns:w="http://schemas.openxmlformats.org/wordprocessingml/2006/main">
  <w:abstractNum w:abstractNumId="0">
    <w:nsid w:val="e17f69ba"/>
    <w:multiLevelType w:val="multilevel"/>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abstractNum>
  <w:abstractNum w:abstractNumId="990">
    <w:nsid w:val="9b841c56"/>
    <w:multiLevelType w:val="multilevel"/>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abstractNum>
  <w:abstractNum w:abstractNumId="991">
    <w:nsid w:val="f48890ad"/>
    <w:multiLevelType w:val="multilevel"/>
    <w:lvl w:ilvl="0">
      <w:numFmt w:val="bullet"/>
      <w:lvlText w:val="•"/>
      <w:lvlJc w:val="left"/>
      <w:pPr>
        <w:tabs>
          <w:tab w:val="num" w:pos="0"/>
        </w:tabs>
        <w:ind w:left="480" w:hanging="480"/>
      </w:pPr>
    </w:lvl>
    <w:lvl w:ilvl="1">
      <w:numFmt w:val="bullet"/>
      <w:lvlText w:val="–"/>
      <w:lvlJc w:val="left"/>
      <w:pPr>
        <w:tabs>
          <w:tab w:val="num" w:pos="720"/>
        </w:tabs>
        <w:ind w:left="1200" w:hanging="480"/>
      </w:pPr>
    </w:lvl>
    <w:lvl w:ilvl="2">
      <w:numFmt w:val="bullet"/>
      <w:lvlText w:val="•"/>
      <w:lvlJc w:val="left"/>
      <w:pPr>
        <w:tabs>
          <w:tab w:val="num" w:pos="1440"/>
        </w:tabs>
        <w:ind w:left="1920" w:hanging="480"/>
      </w:pPr>
    </w:lvl>
    <w:lvl w:ilvl="3">
      <w:numFmt w:val="bullet"/>
      <w:lvlText w:val="–"/>
      <w:lvlJc w:val="left"/>
      <w:pPr>
        <w:tabs>
          <w:tab w:val="num" w:pos="2160"/>
        </w:tabs>
        <w:ind w:left="2640" w:hanging="480"/>
      </w:pPr>
    </w:lvl>
    <w:lvl w:ilvl="4">
      <w:numFmt w:val="bullet"/>
      <w:lvlText w:val="•"/>
      <w:lvlJc w:val="left"/>
      <w:pPr>
        <w:tabs>
          <w:tab w:val="num" w:pos="2880"/>
        </w:tabs>
        <w:ind w:left="3360" w:hanging="480"/>
      </w:pPr>
    </w:lvl>
    <w:lvl w:ilvl="5">
      <w:numFmt w:val="bullet"/>
      <w:lvlText w:val="–"/>
      <w:lvlJc w:val="left"/>
      <w:pPr>
        <w:tabs>
          <w:tab w:val="num" w:pos="3600"/>
        </w:tabs>
        <w:ind w:left="4080" w:hanging="480"/>
      </w:pPr>
    </w:lvl>
    <w:lvl w:ilvl="6">
      <w:numFmt w:val="bullet"/>
      <w:lvlText w:val="•"/>
      <w:lvlJc w:val="left"/>
      <w:pPr>
        <w:tabs>
          <w:tab w:val="num" w:pos="4320"/>
        </w:tabs>
        <w:ind w:left="4800" w:hanging="480"/>
      </w:pPr>
    </w:lvl>
  </w:abstractNum>
  <w:num w:numId="1">
    <w:abstractNumId w:val="0"/>
  </w:num>
  <w:num w:numId="1000">
    <w:abstractNumId w:val="990"/>
  </w:num>
  <w:num w:numId="1001">
    <w:abstractNumId w:val="991"/>
  </w:num>
  <w:num w:numId="1002">
    <w:abstractNumId w:val="991"/>
  </w:num>
  <w:num w:numId="1003">
    <w:abstractNumId w:val="99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proofState w:spelling="clean" w:grammar="clean"/>
  <w:stylePaneFormatFilter w:val="0004"/>
  <w:footnotePr>
    <w:footnote w:id="-1"/>
    <w:footnote w:id="0"/>
  </w:footnotePr>
  <w:doNotTrackMoves/>
  <w:defaultTabStop w:val="720"/>
  <w:drawingGridHorizontalSpacing w:val="360"/>
  <w:drawingGridVerticalSpacing w:val="360"/>
  <w:displayHorizontalDrawingGridEvery w:val="0"/>
  <w:displayVerticalDrawingGridEvery w:val="0"/>
  <w:characterSpacingControl w:val="doNotCompress"/>
  <w:savePreviewPicture/>
  <w:rsids>
    <w:rsidRoot w:val="00590D07"/>
    <w:rsid w:val="00011C8B"/>
    <w:rsid w:val="004E29B3"/>
    <w:rsid w:val="00590D07"/>
    <w:rsid w:val="00784D58"/>
    <w:rsid w:val="008D6863"/>
    <w:rsid w:val="00B86B75"/>
    <w:rsid w:val="00BC48D5"/>
    <w:rsid w:val="00C36279"/>
    <w:rsid w:val="00E315A3"/>
  </w:rsids>
  <m:mathPr>
    <m:mathFont m:val="Lucida Grande"/>
    <m:brkBin m:val="before"/>
    <m:brkBinSub m:val="--"/>
    <m:smallFrac m:val="false"/>
    <m:dispDef m:val="false"/>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B1BB4"/>
    <w:pPr>
      <w:spacing w:before="120" w:after="120"/>
    </w:pPr>
    <w:rPr>
      <w:rFonts w:ascii="Avenir Book" w:hAnsi="Avenir Book"/>
      <w:color w:val="28384B"/>
      <w:lang w:val="en-AU"/>
    </w:rPr>
  </w:style>
  <w:style w:type="paragraph" w:styleId="Heading1">
    <w:name w:val="heading 1"/>
    <w:basedOn w:val="Normal"/>
    <w:next w:val="Normal"/>
    <w:link w:val="Heading1Char"/>
    <w:uiPriority w:val="9"/>
    <w:qFormat/>
    <w:rsid w:val="000B1BB4"/>
    <w:pPr>
      <w:keepNext/>
      <w:keepLines/>
      <w:spacing w:before="480" w:after="0"/>
      <w:outlineLvl w:val="0"/>
    </w:pPr>
    <w:rPr>
      <w:rFonts w:ascii="News Gothic MT" w:eastAsiaTheme="majorEastAsia" w:hAnsi="News Gothic MT" w:cstheme="majorBidi"/>
      <w:b/>
      <w:bCs/>
      <w:color w:val="212F3E"/>
      <w:sz w:val="32"/>
      <w:szCs w:val="32"/>
    </w:rPr>
  </w:style>
  <w:style w:type="paragraph" w:styleId="Heading2">
    <w:name w:val="heading 2"/>
    <w:basedOn w:val="Normal"/>
    <w:next w:val="Normal"/>
    <w:link w:val="Heading2Char"/>
    <w:uiPriority w:val="9"/>
    <w:unhideWhenUsed/>
    <w:qFormat/>
    <w:rsid w:val="000B1BB4"/>
    <w:pPr>
      <w:keepNext/>
      <w:keepLines/>
      <w:spacing w:before="200"/>
      <w:outlineLvl w:val="1"/>
    </w:pPr>
    <w:rPr>
      <w:rFonts w:ascii="Avenir Black" w:eastAsiaTheme="majorEastAsia" w:hAnsi="Avenir Black" w:cstheme="majorBidi"/>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B1BB4"/>
    <w:rPr>
      <w:rFonts w:ascii="News Gothic MT" w:eastAsiaTheme="majorEastAsia" w:hAnsi="News Gothic MT" w:cstheme="majorBidi"/>
      <w:b/>
      <w:bCs/>
      <w:color w:val="212F3E"/>
      <w:sz w:val="32"/>
      <w:szCs w:val="32"/>
      <w:lang w:val="en-AU"/>
    </w:rPr>
  </w:style>
  <w:style w:type="character" w:customStyle="1" w:styleId="Heading2Char">
    <w:name w:val="Heading 2 Char"/>
    <w:basedOn w:val="DefaultParagraphFont"/>
    <w:link w:val="Heading2"/>
    <w:uiPriority w:val="9"/>
    <w:rsid w:val="000B1BB4"/>
    <w:rPr>
      <w:rFonts w:ascii="Avenir Black" w:eastAsiaTheme="majorEastAsia" w:hAnsi="Avenir Black" w:cstheme="majorBidi"/>
      <w:b/>
      <w:bCs/>
      <w:color w:val="28384B"/>
      <w:sz w:val="26"/>
      <w:szCs w:val="26"/>
      <w:lang w:val="en-AU"/>
    </w:rPr>
  </w:style>
  <w:style w:type="paragraph" w:styleId="Title">
    <w:name w:val="Title"/>
    <w:basedOn w:val="Normal"/>
    <w:next w:val="Normal"/>
    <w:link w:val="TitleChar"/>
    <w:uiPriority w:val="10"/>
    <w:qFormat/>
    <w:rsid w:val="005457E9"/>
    <w:pPr>
      <w:pBdr>
        <w:bottom w:val="single" w:sz="8" w:space="4" w:color="4F81BD" w:themeColor="accent1"/>
      </w:pBdr>
      <w:spacing w:before="0" w:after="300"/>
      <w:contextualSpacing/>
    </w:pPr>
    <w:rPr>
      <w:rFonts w:eastAsiaTheme="majorEastAsia" w:cstheme="majorBidi"/>
      <w:color w:val="000000"/>
      <w:spacing w:val="5"/>
      <w:kern w:val="28"/>
      <w:sz w:val="52"/>
      <w:szCs w:val="52"/>
    </w:rPr>
  </w:style>
  <w:style w:type="character" w:customStyle="1" w:styleId="TitleChar">
    <w:name w:val="Title Char"/>
    <w:basedOn w:val="DefaultParagraphFont"/>
    <w:link w:val="Title"/>
    <w:uiPriority w:val="10"/>
    <w:rsid w:val="005457E9"/>
    <w:rPr>
      <w:rFonts w:ascii="Arial" w:eastAsiaTheme="majorEastAsia" w:hAnsi="Arial" w:cstheme="majorBidi"/>
      <w:color w:val="000000"/>
      <w:spacing w:val="5"/>
      <w:kern w:val="28"/>
      <w:sz w:val="52"/>
      <w:szCs w:val="52"/>
      <w:lang w:val="en-AU"/>
    </w:rPr>
  </w:style>
  <w:style w:type="paragraph" w:customStyle="1" w:styleId="SourceCode">
    <w:name w:val="Source Code"/>
    <w:basedOn w:val="Normal"/>
    <w:link w:val="VerbatimChar"/>
    <w:pPr>
      <w:wordWrap w:val="off"/>
    </w:pPr>
  </w:style>
  <w:style w:type="character" w:customStyle="1" w:styleId="KeywordTok">
    <w:name w:val="KeywordTok"/>
    <w:basedOn w:val="VerbatimChar"/>
    <w:rPr>
      <w:color w:val="007020"/>
      <w:b/>
    </w:rPr>
  </w:style>
  <w:style w:type="character" w:customStyle="1" w:styleId="DataTypeTok">
    <w:name w:val="DataTypeTok"/>
    <w:basedOn w:val="VerbatimChar"/>
    <w:rPr>
      <w:color w:val="902000"/>
    </w:rPr>
  </w:style>
  <w:style w:type="character" w:customStyle="1" w:styleId="DecValTok">
    <w:name w:val="DecValTok"/>
    <w:basedOn w:val="VerbatimChar"/>
    <w:rPr>
      <w:color w:val="40a070"/>
    </w:rPr>
  </w:style>
  <w:style w:type="character" w:customStyle="1" w:styleId="BaseNTok">
    <w:name w:val="BaseNTok"/>
    <w:basedOn w:val="VerbatimChar"/>
    <w:rPr>
      <w:color w:val="40a070"/>
    </w:rPr>
  </w:style>
  <w:style w:type="character" w:customStyle="1" w:styleId="FloatTok">
    <w:name w:val="FloatTok"/>
    <w:basedOn w:val="VerbatimChar"/>
    <w:rPr>
      <w:color w:val="40a070"/>
    </w:rPr>
  </w:style>
  <w:style w:type="character" w:customStyle="1" w:styleId="ConstantTok">
    <w:name w:val="ConstantTok"/>
    <w:basedOn w:val="VerbatimChar"/>
    <w:rPr>
      <w:color w:val="880000"/>
    </w:rPr>
  </w:style>
  <w:style w:type="character" w:customStyle="1" w:styleId="CharTok">
    <w:name w:val="CharTok"/>
    <w:basedOn w:val="VerbatimChar"/>
    <w:rPr>
      <w:color w:val="4070a0"/>
    </w:rPr>
  </w:style>
  <w:style w:type="character" w:customStyle="1" w:styleId="SpecialCharTok">
    <w:name w:val="SpecialCharTok"/>
    <w:basedOn w:val="VerbatimChar"/>
    <w:rPr>
      <w:color w:val="4070a0"/>
    </w:rPr>
  </w:style>
  <w:style w:type="character" w:customStyle="1" w:styleId="StringTok">
    <w:name w:val="StringTok"/>
    <w:basedOn w:val="VerbatimChar"/>
    <w:rPr>
      <w:color w:val="4070a0"/>
    </w:rPr>
  </w:style>
  <w:style w:type="character" w:customStyle="1" w:styleId="VerbatimStringTok">
    <w:name w:val="VerbatimStringTok"/>
    <w:basedOn w:val="VerbatimChar"/>
    <w:rPr>
      <w:color w:val="4070a0"/>
    </w:rPr>
  </w:style>
  <w:style w:type="character" w:customStyle="1" w:styleId="SpecialStringTok">
    <w:name w:val="SpecialStringTok"/>
    <w:basedOn w:val="VerbatimChar"/>
    <w:rPr>
      <w:color w:val="bb6688"/>
    </w:rPr>
  </w:style>
  <w:style w:type="character" w:customStyle="1" w:styleId="ImportTok">
    <w:name w:val="ImportTok"/>
    <w:basedOn w:val="VerbatimChar"/>
    <w:rPr/>
  </w:style>
  <w:style w:type="character" w:customStyle="1" w:styleId="CommentTok">
    <w:name w:val="CommentTok"/>
    <w:basedOn w:val="VerbatimChar"/>
    <w:rPr>
      <w:color w:val="60a0b0"/>
      <w:i/>
    </w:rPr>
  </w:style>
  <w:style w:type="character" w:customStyle="1" w:styleId="DocumentationTok">
    <w:name w:val="DocumentationTok"/>
    <w:basedOn w:val="VerbatimChar"/>
    <w:rPr>
      <w:color w:val="ba2121"/>
      <w:i/>
    </w:rPr>
  </w:style>
  <w:style w:type="character" w:customStyle="1" w:styleId="AnnotationTok">
    <w:name w:val="AnnotationTok"/>
    <w:basedOn w:val="VerbatimChar"/>
    <w:rPr>
      <w:color w:val="60a0b0"/>
      <w:b/>
      <w:i/>
    </w:rPr>
  </w:style>
  <w:style w:type="character" w:customStyle="1" w:styleId="CommentVarTok">
    <w:name w:val="CommentVarTok"/>
    <w:basedOn w:val="VerbatimChar"/>
    <w:rPr>
      <w:color w:val="60a0b0"/>
      <w:b/>
      <w:i/>
    </w:rPr>
  </w:style>
  <w:style w:type="character" w:customStyle="1" w:styleId="OtherTok">
    <w:name w:val="OtherTok"/>
    <w:basedOn w:val="VerbatimChar"/>
    <w:rPr>
      <w:color w:val="007020"/>
    </w:rPr>
  </w:style>
  <w:style w:type="character" w:customStyle="1" w:styleId="FunctionTok">
    <w:name w:val="FunctionTok"/>
    <w:basedOn w:val="VerbatimChar"/>
    <w:rPr>
      <w:color w:val="06287e"/>
    </w:rPr>
  </w:style>
  <w:style w:type="character" w:customStyle="1" w:styleId="VariableTok">
    <w:name w:val="VariableTok"/>
    <w:basedOn w:val="VerbatimChar"/>
    <w:rPr>
      <w:color w:val="19177c"/>
    </w:rPr>
  </w:style>
  <w:style w:type="character" w:customStyle="1" w:styleId="ControlFlowTok">
    <w:name w:val="ControlFlowTok"/>
    <w:basedOn w:val="VerbatimChar"/>
    <w:rPr>
      <w:color w:val="007020"/>
      <w:b/>
    </w:rPr>
  </w:style>
  <w:style w:type="character" w:customStyle="1" w:styleId="OperatorTok">
    <w:name w:val="OperatorTok"/>
    <w:basedOn w:val="VerbatimChar"/>
    <w:rPr>
      <w:color w:val="666666"/>
    </w:rPr>
  </w:style>
  <w:style w:type="character" w:customStyle="1" w:styleId="BuiltInTok">
    <w:name w:val="BuiltInTok"/>
    <w:basedOn w:val="VerbatimChar"/>
    <w:rPr/>
  </w:style>
  <w:style w:type="character" w:customStyle="1" w:styleId="ExtensionTok">
    <w:name w:val="ExtensionTok"/>
    <w:basedOn w:val="VerbatimChar"/>
    <w:rPr/>
  </w:style>
  <w:style w:type="character" w:customStyle="1" w:styleId="PreprocessorTok">
    <w:name w:val="PreprocessorTok"/>
    <w:basedOn w:val="VerbatimChar"/>
    <w:rPr>
      <w:color w:val="bc7a00"/>
    </w:rPr>
  </w:style>
  <w:style w:type="character" w:customStyle="1" w:styleId="AttributeTok">
    <w:name w:val="AttributeTok"/>
    <w:basedOn w:val="VerbatimChar"/>
    <w:rPr>
      <w:color w:val="7d9029"/>
    </w:rPr>
  </w:style>
  <w:style w:type="character" w:customStyle="1" w:styleId="RegionMarkerTok">
    <w:name w:val="RegionMarkerTok"/>
    <w:basedOn w:val="VerbatimChar"/>
    <w:rPr/>
  </w:style>
  <w:style w:type="character" w:customStyle="1" w:styleId="InformationTok">
    <w:name w:val="InformationTok"/>
    <w:basedOn w:val="VerbatimChar"/>
    <w:rPr>
      <w:color w:val="60a0b0"/>
      <w:b/>
      <w:i/>
    </w:rPr>
  </w:style>
  <w:style w:type="character" w:customStyle="1" w:styleId="WarningTok">
    <w:name w:val="WarningTok"/>
    <w:basedOn w:val="VerbatimChar"/>
    <w:rPr>
      <w:color w:val="60a0b0"/>
      <w:b/>
      <w:i/>
    </w:rPr>
  </w:style>
  <w:style w:type="character" w:customStyle="1" w:styleId="AlertTok">
    <w:name w:val="AlertTok"/>
    <w:basedOn w:val="VerbatimChar"/>
    <w:rPr>
      <w:color w:val="ff0000"/>
      <w:b/>
    </w:rPr>
  </w:style>
  <w:style w:type="character" w:customStyle="1" w:styleId="ErrorTok">
    <w:name w:val="ErrorTok"/>
    <w:basedOn w:val="VerbatimChar"/>
    <w:rPr>
      <w:color w:val="ff0000"/>
      <w:b/>
    </w:rPr>
  </w:style>
  <w:style w:type="character" w:customStyle="1" w:styleId="NormalTok">
    <w:name w:val="NormalTok"/>
    <w:basedOn w:val="VerbatimCha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image" Id="rId25" Target="media/rId25.png" /><Relationship Type="http://schemas.openxmlformats.org/officeDocument/2006/relationships/hyperlink" Id="rId31" Target="" TargetMode="External" /><Relationship Type="http://schemas.openxmlformats.org/officeDocument/2006/relationships/hyperlink" Id="rId46" Target="http://knowyourcouncil.vic.gov.au/guide-to-councils/council-elections" TargetMode="External" /><Relationship Type="http://schemas.openxmlformats.org/officeDocument/2006/relationships/hyperlink" Id="rId40" Target="http://maps.land.vic.gov.au/lassi/VicnamesUI.jsp" TargetMode="External" /><Relationship Type="http://schemas.openxmlformats.org/officeDocument/2006/relationships/hyperlink" Id="rId30" Target="http://www.ararat.vic.gov.au" TargetMode="External" /><Relationship Type="http://schemas.openxmlformats.org/officeDocument/2006/relationships/hyperlink" Id="rId44" Target="http://www.ararat.vic.gov.au/council/council-documents/annual-report" TargetMode="External" /><Relationship Type="http://schemas.openxmlformats.org/officeDocument/2006/relationships/hyperlink" Id="rId42" Target="http://www.ararat.vic.gov.au/council/council-documents/community-satisfaction-survey" TargetMode="External" /><Relationship Type="http://schemas.openxmlformats.org/officeDocument/2006/relationships/hyperlink" Id="rId47" Target="http://www.localgovernment.vic.gov.au/council-governance/candidate-training" TargetMode="External" /><Relationship Type="http://schemas.openxmlformats.org/officeDocument/2006/relationships/hyperlink" Id="rId37" Target="http://www.maggolee.org.au/wp-content/uploads/2015/09/LGA-Profile-Final-Ararat.pdf" TargetMode="External" /><Relationship Type="http://schemas.openxmlformats.org/officeDocument/2006/relationships/hyperlink" Id="rId35" Target="http://www.planning.vic.gov.au/__data/assets/pdf_file/0016/11086/Ararat_VIF_2016_One_Page_Profile_Output.pdf" TargetMode="External" /><Relationship Type="http://schemas.openxmlformats.org/officeDocument/2006/relationships/hyperlink" Id="rId48" Target="http://www.vec.vic.gov.au/" TargetMode="External" /><Relationship Type="http://schemas.openxmlformats.org/officeDocument/2006/relationships/hyperlink" Id="rId33" Target="https://knowyourcouncil.vic.gov.au/__data/assets/pdf_file/0009/29439/DOC-15-313642-Victorian-Local-Government-Comparator-Groups-2015-FINAL.pdf" TargetMode="External" /><Relationship Type="http://schemas.openxmlformats.org/officeDocument/2006/relationships/hyperlink" Id="rId26" Target="https://knowyourcouncil.vic.gov.au/councils/ararat" TargetMode="External" /><Relationship Type="http://schemas.openxmlformats.org/officeDocument/2006/relationships/hyperlink" Id="rId29" Target="mailto:council@ararat.vic.gov.au" TargetMode="External" /></Relationships>
</file>

<file path=word/_rels/footnotes.xml.rels><?xml version="1.0" encoding="UTF-8"?>
<Relationships xmlns="http://schemas.openxmlformats.org/package/2006/relationships"><Relationship Type="http://schemas.openxmlformats.org/officeDocument/2006/relationships/hyperlink" Id="rId31" Target="" TargetMode="External" /><Relationship Type="http://schemas.openxmlformats.org/officeDocument/2006/relationships/hyperlink" Id="rId46" Target="http://knowyourcouncil.vic.gov.au/guide-to-councils/council-elections" TargetMode="External" /><Relationship Type="http://schemas.openxmlformats.org/officeDocument/2006/relationships/hyperlink" Id="rId40" Target="http://maps.land.vic.gov.au/lassi/VicnamesUI.jsp" TargetMode="External" /><Relationship Type="http://schemas.openxmlformats.org/officeDocument/2006/relationships/hyperlink" Id="rId30" Target="http://www.ararat.vic.gov.au" TargetMode="External" /><Relationship Type="http://schemas.openxmlformats.org/officeDocument/2006/relationships/hyperlink" Id="rId44" Target="http://www.ararat.vic.gov.au/council/council-documents/annual-report" TargetMode="External" /><Relationship Type="http://schemas.openxmlformats.org/officeDocument/2006/relationships/hyperlink" Id="rId42" Target="http://www.ararat.vic.gov.au/council/council-documents/community-satisfaction-survey" TargetMode="External" /><Relationship Type="http://schemas.openxmlformats.org/officeDocument/2006/relationships/hyperlink" Id="rId47" Target="http://www.localgovernment.vic.gov.au/council-governance/candidate-training" TargetMode="External" /><Relationship Type="http://schemas.openxmlformats.org/officeDocument/2006/relationships/hyperlink" Id="rId37" Target="http://www.maggolee.org.au/wp-content/uploads/2015/09/LGA-Profile-Final-Ararat.pdf" TargetMode="External" /><Relationship Type="http://schemas.openxmlformats.org/officeDocument/2006/relationships/hyperlink" Id="rId35" Target="http://www.planning.vic.gov.au/__data/assets/pdf_file/0016/11086/Ararat_VIF_2016_One_Page_Profile_Output.pdf" TargetMode="External" /><Relationship Type="http://schemas.openxmlformats.org/officeDocument/2006/relationships/hyperlink" Id="rId48" Target="http://www.vec.vic.gov.au/" TargetMode="External" /><Relationship Type="http://schemas.openxmlformats.org/officeDocument/2006/relationships/hyperlink" Id="rId33" Target="https://knowyourcouncil.vic.gov.au/__data/assets/pdf_file/0009/29439/DOC-15-313642-Victorian-Local-Government-Comparator-Groups-2015-FINAL.pdf" TargetMode="External" /><Relationship Type="http://schemas.openxmlformats.org/officeDocument/2006/relationships/hyperlink" Id="rId26" Target="https://knowyourcouncil.vic.gov.au/councils/ararat" TargetMode="External" /><Relationship Type="http://schemas.openxmlformats.org/officeDocument/2006/relationships/hyperlink" Id="rId29" Target="mailto:council@ararat.vic.gov.au"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0</Words>
  <Characters>0</Characters>
  <Application>Microsoft Macintosh Word</Application>
  <DocSecurity>0</DocSecurity>
  <Lines>0</Lines>
  <Paragraphs>0</Paragraphs>
  <ScaleCrop>false</ScaleCrop>
  <Company>Ladoo</Company>
  <LinksUpToDate>false</LinksUpToDate>
  <CharactersWithSpaces>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coreProperties>
</file>