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5.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495800" cy="673100"/>
            <wp:effectExtent b="0" l="0" r="0" t="0"/>
            <wp:docPr descr="" id="1" name="Picture"/>
            <a:graphic>
              <a:graphicData uri="http://schemas.openxmlformats.org/drawingml/2006/picture">
                <pic:pic>
                  <pic:nvPicPr>
                    <pic:cNvPr descr="https://knowyourcouncil.vic.gov.au/__data/assets/image/0007/18898/logo-big.png" id="0" name="Picture"/>
                    <pic:cNvPicPr>
                      <a:picLocks noChangeArrowheads="1" noChangeAspect="1"/>
                    </pic:cNvPicPr>
                  </pic:nvPicPr>
                  <pic:blipFill>
                    <a:blip r:embed="rId25"/>
                    <a:stretch>
                      <a:fillRect/>
                    </a:stretch>
                  </pic:blipFill>
                  <pic:spPr bwMode="auto">
                    <a:xfrm>
                      <a:off x="0" y="0"/>
                      <a:ext cx="4495800" cy="673100"/>
                    </a:xfrm>
                    <a:prstGeom prst="rect">
                      <a:avLst/>
                    </a:prstGeom>
                    <a:noFill/>
                    <a:ln w="9525">
                      <a:noFill/>
                      <a:headEnd/>
                      <a:tailEnd/>
                    </a:ln>
                  </pic:spPr>
                </pic:pic>
              </a:graphicData>
            </a:graphic>
          </wp:inline>
        </w:drawing>
      </w:r>
      <w:r>
        <w:t xml:space="preserve"> </w:t>
      </w:r>
      <w:hyperlink r:id="rId26">
        <w:r>
          <w:rPr>
            <w:rStyle w:val="Hyperlink"/>
          </w:rPr>
          <w:t xml:space="preserve">https://knowyourcouncil.vic.gov.au/councils/ballarat</w:t>
        </w:r>
      </w:hyperlink>
    </w:p>
    <w:p>
      <w:pPr>
        <w:pStyle w:val="Heading1"/>
      </w:pPr>
      <w:bookmarkStart w:id="27" w:name="ballarat-city"/>
      <w:bookmarkEnd w:id="27"/>
      <w:r>
        <w:t xml:space="preserve">Ballarat City</w:t>
      </w:r>
    </w:p>
    <w:p>
      <w:pPr>
        <w:pStyle w:val="Heading2"/>
      </w:pPr>
      <w:bookmarkStart w:id="28" w:name="contact-information"/>
      <w:bookmarkEnd w:id="28"/>
      <w:r>
        <w:t xml:space="preserve">Contact Information</w:t>
      </w:r>
    </w:p>
    <w:p>
      <w:pPr>
        <w:pStyle w:val="Compact"/>
        <w:numPr>
          <w:numId w:val="1001"/>
          <w:ilvl w:val="0"/>
        </w:numPr>
      </w:pPr>
      <w:r>
        <w:t xml:space="preserve">Address:</w:t>
      </w:r>
      <w:r>
        <w:t xml:space="preserve"> </w:t>
      </w:r>
      <w:r>
        <w:t xml:space="preserve">25 Armstrong Street South, BALLARAT 3350</w:t>
      </w:r>
    </w:p>
    <w:p>
      <w:pPr>
        <w:pStyle w:val="Compact"/>
        <w:numPr>
          <w:numId w:val="1001"/>
          <w:ilvl w:val="0"/>
        </w:numPr>
      </w:pPr>
      <w:r>
        <w:t xml:space="preserve">Postal:</w:t>
      </w:r>
      <w:r>
        <w:t xml:space="preserve"> </w:t>
      </w:r>
      <w:r>
        <w:t xml:space="preserve">PO Box 655, BALLARAT 3353</w:t>
      </w:r>
    </w:p>
    <w:p>
      <w:pPr>
        <w:pStyle w:val="Compact"/>
        <w:numPr>
          <w:numId w:val="1001"/>
          <w:ilvl w:val="0"/>
        </w:numPr>
      </w:pPr>
      <w:r>
        <w:t xml:space="preserve">Phone:</w:t>
      </w:r>
      <w:r>
        <w:t xml:space="preserve"> </w:t>
      </w:r>
      <w:r>
        <w:t xml:space="preserve">03 5320 5500</w:t>
      </w:r>
    </w:p>
    <w:p>
      <w:pPr>
        <w:pStyle w:val="Compact"/>
        <w:numPr>
          <w:numId w:val="1001"/>
          <w:ilvl w:val="0"/>
        </w:numPr>
      </w:pPr>
      <w:r>
        <w:t xml:space="preserve">Fax:</w:t>
      </w:r>
      <w:r>
        <w:t xml:space="preserve"> </w:t>
      </w:r>
      <w:r>
        <w:t xml:space="preserve">03 5333 4061</w:t>
      </w:r>
    </w:p>
    <w:p>
      <w:pPr>
        <w:pStyle w:val="Compact"/>
        <w:numPr>
          <w:numId w:val="1001"/>
          <w:ilvl w:val="0"/>
        </w:numPr>
      </w:pPr>
      <w:r>
        <w:t xml:space="preserve">Contact:</w:t>
      </w:r>
      <w:r>
        <w:t xml:space="preserve"> </w:t>
      </w:r>
      <w:r>
        <w:t xml:space="preserve"> </w:t>
      </w:r>
      <w:hyperlink r:id="rId29">
        <w:r>
          <w:rPr>
            <w:rStyle w:val="Hyperlink"/>
          </w:rPr>
          <w:t xml:space="preserve">ballcity@ballarat.vic.gov.au</w:t>
        </w:r>
      </w:hyperlink>
      <w:r>
        <w:t xml:space="preserve"> </w:t>
      </w:r>
    </w:p>
    <w:p>
      <w:pPr>
        <w:pStyle w:val="Compact"/>
        <w:numPr>
          <w:numId w:val="1001"/>
          <w:ilvl w:val="0"/>
        </w:numPr>
      </w:pPr>
      <w:r>
        <w:t xml:space="preserve">Web:</w:t>
      </w:r>
      <w:r>
        <w:t xml:space="preserve"> </w:t>
      </w:r>
      <w:hyperlink r:id="rId30">
        <w:r>
          <w:rPr>
            <w:rStyle w:val="Hyperlink"/>
          </w:rPr>
          <w:t xml:space="preserve">http://www.ballarat.vic.gov.au</w:t>
        </w:r>
      </w:hyperlink>
    </w:p>
    <w:p>
      <w:pPr>
        <w:pStyle w:val="Compact"/>
        <w:numPr>
          <w:numId w:val="1001"/>
          <w:ilvl w:val="0"/>
        </w:numPr>
      </w:pPr>
      <w:r>
        <w:t xml:space="preserve">Mayor:</w:t>
      </w:r>
      <w:r>
        <w:t xml:space="preserve"> </w:t>
      </w:r>
      <w:r>
        <w:t xml:space="preserve">Cr Daniel Moloney</w:t>
      </w:r>
    </w:p>
    <w:p>
      <w:pPr>
        <w:pStyle w:val="Compact"/>
        <w:numPr>
          <w:numId w:val="1001"/>
          <w:ilvl w:val="0"/>
        </w:numPr>
      </w:pPr>
      <w:r>
        <w:t xml:space="preserve">CEO:</w:t>
      </w:r>
      <w:r>
        <w:t xml:space="preserve"> </w:t>
      </w:r>
      <w:r>
        <w:t xml:space="preserve">Mr Evan King</w:t>
      </w:r>
    </w:p>
    <w:p>
      <w:pPr>
        <w:pStyle w:val="Compact"/>
        <w:numPr>
          <w:numId w:val="1001"/>
          <w:ilvl w:val="0"/>
        </w:numPr>
      </w:pPr>
      <w:r>
        <w:t xml:space="preserve">Service Seeker:</w:t>
      </w:r>
      <w:r>
        <w:t xml:space="preserve"> </w:t>
      </w:r>
      <w:hyperlink r:id="rId31">
        <w:r>
          <w:rPr>
            <w:rStyle w:val="Hyperlink"/>
          </w:rPr>
          <w:t xml:space="preserve">http://www.ballarat.vic.gov.au/pc</w:t>
        </w:r>
      </w:hyperlink>
    </w:p>
    <w:p>
      <w:pPr>
        <w:pStyle w:val="Heading2"/>
      </w:pPr>
      <w:bookmarkStart w:id="32" w:name="profile"/>
      <w:bookmarkEnd w:id="32"/>
      <w:r>
        <w:t xml:space="preserve">Profile</w:t>
      </w:r>
    </w:p>
    <w:p>
      <w:pPr>
        <w:pStyle w:val="FirstParagraph"/>
      </w:pPr>
      <w:r>
        <w:t xml:space="preserve">The City of Ballarat lies within a gently undulating section of the midland plains in western Victoria, about 80 kms from Melbourne.</w:t>
      </w:r>
    </w:p>
    <w:p>
      <w:pPr>
        <w:pStyle w:val="BodyText"/>
      </w:pPr>
      <w:r>
        <w:t xml:space="preserve">It is positioned at the centre of some of Victoria's most important freight, tourist and commuter transport routes, with the Western, the Midland, the Glenelg and the Sunraysia highways radiating from it.</w:t>
      </w:r>
    </w:p>
    <w:p>
      <w:pPr>
        <w:pStyle w:val="BodyText"/>
      </w:pPr>
      <w:r>
        <w:t xml:space="preserve">Ballarat has traditionally prospered on mineral and agricultural based resources, however manufacturing, tourism, health and community services, education and retailing are now the key industries.</w:t>
      </w:r>
    </w:p>
    <w:p>
      <w:pPr>
        <w:pStyle w:val="BodyText"/>
      </w:pPr>
      <w:r>
        <w:t xml:space="preserve">These industries, along with banking, finance and government services, are strengthening Ballarat's role as a regional service provider.</w:t>
      </w:r>
    </w:p>
    <w:p>
      <w:pPr>
        <w:pStyle w:val="BodyText"/>
      </w:pPr>
      <w:r>
        <w:t xml:space="preserve">Ballarat is part of the Regional City council grouping and can be compared with similar councils. More information on council groupings can be found</w:t>
      </w:r>
      <w:r>
        <w:t xml:space="preserve"> </w:t>
      </w:r>
      <w:hyperlink r:id="rId33">
        <w:r>
          <w:rPr>
            <w:rStyle w:val="Hyperlink"/>
          </w:rPr>
          <w:t xml:space="preserve">here</w:t>
        </w:r>
      </w:hyperlink>
      <w:r>
        <w:t xml:space="preserve">.</w:t>
      </w:r>
    </w:p>
    <w:p>
      <w:pPr>
        <w:pStyle w:val="Heading3"/>
      </w:pPr>
      <w:bookmarkStart w:id="34" w:name="victoria-in-future-profile"/>
      <w:bookmarkEnd w:id="34"/>
      <w:r>
        <w:t xml:space="preserve">Victoria in Future Profile</w:t>
      </w:r>
    </w:p>
    <w:p>
      <w:pPr>
        <w:pStyle w:val="FirstParagraph"/>
      </w:pPr>
      <w:hyperlink r:id="rId35">
        <w:r>
          <w:rPr>
            <w:rStyle w:val="Hyperlink"/>
          </w:rPr>
          <w:t xml:space="preserve">Ballarat - Victoria in Future 2016</w:t>
        </w:r>
      </w:hyperlink>
    </w:p>
    <w:p>
      <w:pPr>
        <w:pStyle w:val="Heading3"/>
      </w:pPr>
      <w:bookmarkStart w:id="36" w:name="aboriginal-community-profile"/>
      <w:bookmarkEnd w:id="36"/>
      <w:r>
        <w:t xml:space="preserve">Aboriginal Community Profile</w:t>
      </w:r>
    </w:p>
    <w:p>
      <w:pPr>
        <w:pStyle w:val="FirstParagraph"/>
      </w:pPr>
      <w:hyperlink r:id="rId37">
        <w:r>
          <w:rPr>
            <w:rStyle w:val="Hyperlink"/>
          </w:rPr>
          <w:t xml:space="preserve">Ballarat Aboriginal Community Profile (includes Aboriginal organisations</w:t>
        </w:r>
      </w:hyperlink>
      <w:r>
        <w:t xml:space="preserve">)</w:t>
      </w:r>
    </w:p>
    <w:p>
      <w:pPr>
        <w:pStyle w:val="Heading2"/>
      </w:pPr>
      <w:bookmarkStart w:id="38" w:name="localities"/>
      <w:bookmarkEnd w:id="38"/>
      <w:r>
        <w:t xml:space="preserve">Localities</w:t>
      </w:r>
    </w:p>
    <w:p>
      <w:pPr>
        <w:pStyle w:val="FirstParagraph"/>
      </w:pPr>
      <w:r>
        <w:t xml:space="preserve">Addington, Alfredton, Ascot, Bakery Hill, Bald Hills, Ballarat, Ballarat East, Black Hill, Blowhard, Bo Peep, Bonshaw, Brown Hill, Buninyong, Bunkers Hill, Burrumbeet, Canadian, Cardigan, Cardigan Village, Chapel Flat, Coghills Creek, Creswick, Delacombe, Durham Lead, Ercildoune, Eureka, Glen Park, Glendaruel, Glendonnel, Golden Point, Gong Gong, Invermay, Invermay Park, Lake Gardens, Lake Wendouree, Learmonth, Magpie, Miners Rest, Mitchell Park, Mount Bolton, Mount Clear, Mount Helen, Mount Pleasant, Mount Rowan, Nerrina, Newington, Redan, Scotchmans Lead, Scotsburn, Sebastopol, Smythes Creek, Soldiers Hill, Sovereign Hill, Tourello, Warrenheip, Wattle Flat, Weatherboard, Wendouree, Wendouree Village, Windermere.</w:t>
      </w:r>
    </w:p>
    <w:p>
      <w:pPr>
        <w:pStyle w:val="BodyText"/>
      </w:pPr>
      <w:r>
        <w:t xml:space="preserve">For a detailed map showing shire boundaries and locality names, visit</w:t>
      </w:r>
      <w:r>
        <w:t xml:space="preserve"> </w:t>
      </w:r>
      <w:hyperlink r:id="rId39">
        <w:r>
          <w:rPr>
            <w:rStyle w:val="Hyperlink"/>
          </w:rPr>
          <w:t xml:space="preserve">VICNAMES</w:t>
        </w:r>
      </w:hyperlink>
      <w:r>
        <w:t xml:space="preserve">.</w:t>
      </w:r>
    </w:p>
    <w:p>
      <w:pPr>
        <w:pStyle w:val="Heading2"/>
      </w:pPr>
      <w:bookmarkStart w:id="40" w:name="community-satisfaction"/>
      <w:bookmarkEnd w:id="40"/>
      <w:r>
        <w:t xml:space="preserve">Community Satisfaction</w:t>
      </w:r>
    </w:p>
    <w:p>
      <w:pPr>
        <w:pStyle w:val="FirstParagraph"/>
      </w:pPr>
      <w:hyperlink r:id="rId41">
        <w:r>
          <w:rPr>
            <w:rStyle w:val="Hyperlink"/>
          </w:rPr>
          <w:t xml:space="preserve">Local Government Community Satisfaction Survey Statewide Results</w:t>
        </w:r>
      </w:hyperlink>
    </w:p>
    <w:p>
      <w:pPr>
        <w:pStyle w:val="Heading2"/>
      </w:pPr>
      <w:bookmarkStart w:id="42" w:name="annual-report"/>
      <w:bookmarkEnd w:id="42"/>
      <w:r>
        <w:t xml:space="preserve">Annual Report</w:t>
      </w:r>
    </w:p>
    <w:p>
      <w:pPr>
        <w:pStyle w:val="FirstParagraph"/>
      </w:pPr>
      <w:hyperlink r:id="rId43">
        <w:r>
          <w:rPr>
            <w:rStyle w:val="Hyperlink"/>
          </w:rPr>
          <w:t xml:space="preserve">City of Ballarat Annual Report 2019/20</w:t>
        </w:r>
      </w:hyperlink>
      <w:r>
        <w:t xml:space="preserve"> </w:t>
      </w:r>
    </w:p>
    <w:p>
      <w:pPr>
        <w:pStyle w:val="Heading2"/>
      </w:pPr>
      <w:bookmarkStart w:id="44" w:name="elections"/>
      <w:bookmarkEnd w:id="44"/>
      <w:r>
        <w:t xml:space="preserve">Elections</w:t>
      </w:r>
    </w:p>
    <w:p>
      <w:pPr>
        <w:pStyle w:val="FirstParagraph"/>
      </w:pPr>
      <w:r>
        <w:t xml:space="preserve">For further information regarding Local Government elections visit:</w:t>
      </w:r>
    </w:p>
    <w:p>
      <w:pPr>
        <w:pStyle w:val="BodyText"/>
      </w:pPr>
      <w:hyperlink r:id="rId45"/>
    </w:p>
    <w:p>
      <w:pPr>
        <w:pStyle w:val="Compact"/>
        <w:numPr>
          <w:numId w:val="1002"/>
          <w:ilvl w:val="0"/>
        </w:numPr>
      </w:pPr>
      <w:hyperlink r:id="rId46">
        <w:r>
          <w:rPr>
            <w:rStyle w:val="Hyperlink"/>
          </w:rPr>
          <w:t xml:space="preserve">Local Government Victoria</w:t>
        </w:r>
      </w:hyperlink>
    </w:p>
    <w:p>
      <w:pPr>
        <w:pStyle w:val="Compact"/>
        <w:numPr>
          <w:numId w:val="1002"/>
          <w:ilvl w:val="0"/>
        </w:numPr>
      </w:pPr>
      <w:hyperlink r:id="rId47">
        <w:r>
          <w:rPr>
            <w:rStyle w:val="Hyperlink"/>
          </w:rPr>
          <w:t xml:space="preserve">Victorian Electoral Commission</w:t>
        </w:r>
      </w:hyperlink>
      <w:r>
        <w:t xml:space="preserve"> </w:t>
      </w:r>
    </w:p>
    <w:p>
      <w:pPr>
        <w:pStyle w:val="Heading2"/>
      </w:pPr>
      <w:bookmarkStart w:id="48" w:name="councillors"/>
      <w:bookmarkEnd w:id="48"/>
      <w:r>
        <w:t xml:space="preserve">Councillors</w:t>
      </w:r>
    </w:p>
    <w:p>
      <w:pPr>
        <w:pStyle w:val="FirstParagraph"/>
      </w:pPr>
      <w:r>
        <w:t xml:space="preserve">9 Councillors elected in October 2020.</w:t>
      </w:r>
    </w:p>
    <w:p>
      <w:pPr>
        <w:pStyle w:val="BodyText"/>
      </w:pPr>
      <w:r>
        <w:br w:type="textWrapping"/>
      </w:r>
    </w:p>
    <w:p>
      <w:pPr>
        <w:pStyle w:val="BodyText"/>
      </w:pPr>
      <w:r>
        <w:t xml:space="preserve">Central - Cr Belinda Coates </w:t>
      </w:r>
    </w:p>
    <w:p>
      <w:pPr>
        <w:pStyle w:val="BodyText"/>
      </w:pPr>
      <w:r>
        <w:t xml:space="preserve">Central - Cr Samantha McIntosh</w:t>
      </w:r>
    </w:p>
    <w:p>
      <w:pPr>
        <w:pStyle w:val="BodyText"/>
      </w:pPr>
      <w:r>
        <w:t xml:space="preserve">Central - Cr Mark Harris</w:t>
      </w:r>
    </w:p>
    <w:p>
      <w:pPr>
        <w:pStyle w:val="BodyText"/>
      </w:pPr>
      <w:r>
        <w:t xml:space="preserve">North - Cr Amy Johnson - Deputy Mayor</w:t>
      </w:r>
    </w:p>
    <w:p>
      <w:pPr>
        <w:pStyle w:val="BodyText"/>
      </w:pPr>
      <w:r>
        <w:t xml:space="preserve">North - Cr Daniel Moloney - Mayor</w:t>
      </w:r>
    </w:p>
    <w:p>
      <w:pPr>
        <w:pStyle w:val="BodyText"/>
      </w:pPr>
      <w:r>
        <w:t xml:space="preserve">North - Cr Peter Eddy</w:t>
      </w:r>
    </w:p>
    <w:p>
      <w:pPr>
        <w:pStyle w:val="BodyText"/>
      </w:pPr>
      <w:r>
        <w:t xml:space="preserve">South - Cr Des Hudson</w:t>
      </w:r>
    </w:p>
    <w:p>
      <w:pPr>
        <w:pStyle w:val="BodyText"/>
      </w:pPr>
      <w:r>
        <w:t xml:space="preserve">South - Cr Ben Taylor</w:t>
      </w:r>
    </w:p>
    <w:p>
      <w:pPr>
        <w:pStyle w:val="BodyText"/>
      </w:pPr>
      <w:r>
        <w:t xml:space="preserve">South - Cr Tracey Hargreaves</w:t>
      </w:r>
    </w:p>
    <w:p>
      <w:pPr>
        <w:pStyle w:val="Heading2"/>
      </w:pPr>
      <w:bookmarkStart w:id="49" w:name="population-data"/>
      <w:bookmarkEnd w:id="49"/>
      <w:r>
        <w:t xml:space="preserve">Population data</w:t>
      </w:r>
    </w:p>
    <w:p>
      <w:pPr>
        <w:pStyle w:val="FirstParagraph"/>
      </w:pPr>
      <w:r>
        <w:t xml:space="preserve">Estimated resident population. Source: Victoria in Future 2016 - Population and Household Projections to 2031</w:t>
      </w:r>
    </w:p>
    <w:p>
      <w:pPr>
        <w:pStyle w:val="Compact"/>
        <w:numPr>
          <w:numId w:val="1003"/>
          <w:ilvl w:val="0"/>
        </w:numPr>
      </w:pPr>
      <w:r>
        <w:rPr>
          <w:b/>
        </w:rPr>
        <w:t xml:space="preserve">2016 </w:t>
      </w:r>
      <w:r>
        <w:t xml:space="preserve">103,249   </w:t>
      </w:r>
    </w:p>
    <w:p>
      <w:pPr>
        <w:pStyle w:val="Compact"/>
        <w:numPr>
          <w:numId w:val="1003"/>
          <w:ilvl w:val="0"/>
        </w:numPr>
      </w:pPr>
      <w:r>
        <w:rPr>
          <w:b/>
        </w:rPr>
        <w:t xml:space="preserve">2021 </w:t>
      </w:r>
      <w:r>
        <w:t xml:space="preserve">113,800  </w:t>
      </w:r>
    </w:p>
    <w:p>
      <w:pPr>
        <w:pStyle w:val="Compact"/>
        <w:numPr>
          <w:numId w:val="1003"/>
          <w:ilvl w:val="0"/>
        </w:numPr>
      </w:pPr>
      <w:r>
        <w:rPr>
          <w:b/>
        </w:rPr>
        <w:t xml:space="preserve">2026 </w:t>
      </w:r>
      <w:r>
        <w:t xml:space="preserve">125,235  </w:t>
      </w:r>
    </w:p>
    <w:p>
      <w:pPr>
        <w:pStyle w:val="Compact"/>
        <w:numPr>
          <w:numId w:val="1003"/>
          <w:ilvl w:val="0"/>
        </w:numPr>
      </w:pPr>
      <w:r>
        <w:rPr>
          <w:b/>
        </w:rPr>
        <w:t xml:space="preserve">2031 </w:t>
      </w:r>
      <w:r>
        <w:t xml:space="preserve">136,873  </w:t>
      </w:r>
    </w:p>
    <w:p>
      <w:pPr>
        <w:pStyle w:val="Heading2"/>
      </w:pPr>
      <w:bookmarkStart w:id="50" w:name="finances"/>
      <w:bookmarkEnd w:id="50"/>
      <w:r>
        <w:t xml:space="preserve">Finances</w:t>
      </w:r>
    </w:p>
    <w:p>
      <w:pPr>
        <w:pStyle w:val="FirstParagraph"/>
      </w:pPr>
      <w:r>
        <w:t xml:space="preserve">Source: Victoria Grants Commission.</w:t>
      </w:r>
      <w:r>
        <w:br w:type="textWrapping"/>
      </w:r>
      <w:r>
        <w:t xml:space="preserve">The figures in the bottom two rows of the table show combined one-off and ongoing funding received by council from both the Federal and State Governments. It is important to note that this amount can change significantly from year to year as individual government funding programs change and natural events such as fires and floods occur.</w:t>
      </w:r>
    </w:p>
    <w:p>
      <w:pPr>
        <w:pStyle w:val="BodyText"/>
      </w:pPr>
      <w:r>
        <w:t xml:space="preserve">Data shows the amount allocated in respect of the relevant financial year. In some years, that amount will vary from the payments received that year, as a result of the Commonwealth "bringing forward" some payments.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 </w:t>
            </w:r>
          </w:p>
        </w:tc>
        <w:tc>
          <w:tcPr>
            <w:tcBorders>
              <w:bottom w:val="single"/>
            </w:tcBorders>
            <w:vAlign w:val="bottom"/>
          </w:tcPr>
          <w:p>
            <w:pPr>
              <w:pStyle w:val="Compact"/>
              <w:jc w:val="left"/>
            </w:pPr>
            <w:r>
              <w:t xml:space="preserve">2018-19</w:t>
            </w:r>
          </w:p>
        </w:tc>
        <w:tc>
          <w:tcPr>
            <w:tcBorders>
              <w:bottom w:val="single"/>
            </w:tcBorders>
            <w:vAlign w:val="bottom"/>
          </w:tcPr>
          <w:p>
            <w:pPr>
              <w:pStyle w:val="Compact"/>
              <w:jc w:val="left"/>
            </w:pPr>
            <w:r>
              <w:t xml:space="preserve">2017-18</w:t>
            </w:r>
          </w:p>
        </w:tc>
        <w:tc>
          <w:tcPr>
            <w:tcBorders>
              <w:bottom w:val="single"/>
            </w:tcBorders>
            <w:vAlign w:val="bottom"/>
          </w:tcPr>
          <w:p>
            <w:pPr>
              <w:pStyle w:val="Compact"/>
              <w:jc w:val="left"/>
            </w:pPr>
            <w:r>
              <w:t xml:space="preserve">2016-17</w:t>
            </w:r>
          </w:p>
        </w:tc>
        <w:tc>
          <w:tcPr>
            <w:tcBorders>
              <w:bottom w:val="single"/>
            </w:tcBorders>
            <w:vAlign w:val="bottom"/>
          </w:tcPr>
          <w:p>
            <w:pPr>
              <w:pStyle w:val="Compact"/>
              <w:jc w:val="left"/>
            </w:pPr>
            <w:r>
              <w:t xml:space="preserve">2015-16</w:t>
            </w:r>
          </w:p>
        </w:tc>
        <w:tc>
          <w:tcPr>
            <w:tcBorders>
              <w:bottom w:val="single"/>
            </w:tcBorders>
            <w:vAlign w:val="bottom"/>
          </w:tcPr>
          <w:p>
            <w:pPr>
              <w:pStyle w:val="Compact"/>
              <w:jc w:val="left"/>
            </w:pPr>
            <w:r>
              <w:t xml:space="preserve">2014-15</w:t>
            </w:r>
          </w:p>
        </w:tc>
        <w:tc>
          <w:tcPr>
            <w:tcBorders>
              <w:bottom w:val="single"/>
            </w:tcBorders>
            <w:vAlign w:val="bottom"/>
          </w:tcPr>
          <w:p>
            <w:pPr>
              <w:pStyle w:val="Compact"/>
              <w:jc w:val="left"/>
            </w:pPr>
            <w:r>
              <w:t xml:space="preserve">2013-14</w:t>
            </w:r>
          </w:p>
        </w:tc>
        <w:tc>
          <w:tcPr>
            <w:tcBorders>
              <w:bottom w:val="single"/>
            </w:tcBorders>
            <w:vAlign w:val="bottom"/>
          </w:tcPr>
          <w:p>
            <w:pPr>
              <w:pStyle w:val="Compact"/>
              <w:jc w:val="left"/>
            </w:pPr>
            <w:r>
              <w:t xml:space="preserve">2012-13</w:t>
            </w:r>
          </w:p>
        </w:tc>
        <w:tc>
          <w:tcPr>
            <w:tcBorders>
              <w:bottom w:val="single"/>
            </w:tcBorders>
            <w:vAlign w:val="bottom"/>
          </w:tcPr>
          <w:p>
            <w:pPr>
              <w:pStyle w:val="Compact"/>
              <w:jc w:val="left"/>
            </w:pPr>
            <w:r>
              <w:t xml:space="preserve">2011-12</w:t>
            </w:r>
          </w:p>
        </w:tc>
        <w:tc>
          <w:tcPr>
            <w:tcBorders>
              <w:bottom w:val="single"/>
            </w:tcBorders>
            <w:vAlign w:val="bottom"/>
          </w:tcPr>
          <w:p>
            <w:pPr>
              <w:pStyle w:val="Compact"/>
              <w:jc w:val="left"/>
            </w:pPr>
            <w:r>
              <w:t xml:space="preserve">2010-11</w:t>
            </w:r>
          </w:p>
        </w:tc>
        <w:tc>
          <w:tcPr>
            <w:tcBorders>
              <w:bottom w:val="single"/>
            </w:tcBorders>
            <w:vAlign w:val="bottom"/>
          </w:tcPr>
          <w:p>
            <w:pPr>
              <w:pStyle w:val="Compact"/>
              <w:jc w:val="left"/>
            </w:pPr>
            <w:r>
              <w:t xml:space="preserve">2009-10</w:t>
            </w:r>
          </w:p>
        </w:tc>
      </w:tr>
      <w:tr>
        <w:tc>
          <w:p>
            <w:pPr>
              <w:pStyle w:val="Compact"/>
              <w:jc w:val="left"/>
            </w:pPr>
            <w:r>
              <w:t xml:space="preserve">Recurrent Expenditure ($)</w:t>
            </w:r>
          </w:p>
        </w:tc>
        <w:tc>
          <w:p>
            <w:pPr>
              <w:pStyle w:val="Compact"/>
              <w:jc w:val="left"/>
            </w:pPr>
            <w:r>
              <w:t xml:space="preserve">174.827m</w:t>
            </w:r>
          </w:p>
        </w:tc>
        <w:tc>
          <w:p>
            <w:pPr>
              <w:pStyle w:val="Compact"/>
              <w:jc w:val="left"/>
            </w:pPr>
            <w:r>
              <w:t xml:space="preserve">159.805m</w:t>
            </w:r>
          </w:p>
        </w:tc>
        <w:tc>
          <w:p>
            <w:pPr>
              <w:pStyle w:val="Compact"/>
              <w:jc w:val="left"/>
            </w:pPr>
            <w:r>
              <w:t xml:space="preserve">152.842m</w:t>
            </w:r>
          </w:p>
        </w:tc>
        <w:tc>
          <w:p>
            <w:pPr>
              <w:pStyle w:val="Compact"/>
              <w:jc w:val="left"/>
            </w:pPr>
            <w:r>
              <w:t xml:space="preserve">148.872m</w:t>
            </w:r>
          </w:p>
        </w:tc>
        <w:tc>
          <w:p>
            <w:pPr>
              <w:pStyle w:val="Compact"/>
              <w:jc w:val="left"/>
            </w:pPr>
            <w:r>
              <w:t xml:space="preserve">140.126m</w:t>
            </w:r>
          </w:p>
        </w:tc>
        <w:tc>
          <w:p>
            <w:pPr>
              <w:pStyle w:val="Compact"/>
              <w:jc w:val="left"/>
            </w:pPr>
            <w:r>
              <w:t xml:space="preserve">129.263m</w:t>
            </w:r>
          </w:p>
        </w:tc>
        <w:tc>
          <w:p>
            <w:pPr>
              <w:pStyle w:val="Compact"/>
              <w:jc w:val="left"/>
            </w:pPr>
            <w:r>
              <w:t xml:space="preserve">128.032m</w:t>
            </w:r>
          </w:p>
        </w:tc>
        <w:tc>
          <w:p>
            <w:pPr>
              <w:pStyle w:val="Compact"/>
              <w:jc w:val="left"/>
            </w:pPr>
            <w:r>
              <w:t xml:space="preserve">131.828m</w:t>
            </w:r>
          </w:p>
        </w:tc>
        <w:tc>
          <w:p>
            <w:pPr>
              <w:pStyle w:val="Compact"/>
              <w:jc w:val="left"/>
            </w:pPr>
            <w:r>
              <w:t xml:space="preserve">116.066m</w:t>
            </w:r>
          </w:p>
        </w:tc>
        <w:tc>
          <w:p>
            <w:pPr>
              <w:pStyle w:val="Compact"/>
              <w:jc w:val="left"/>
            </w:pPr>
            <w:r>
              <w:t xml:space="preserve">105.328m</w:t>
            </w:r>
          </w:p>
        </w:tc>
      </w:tr>
      <w:tr>
        <w:tc>
          <w:p>
            <w:pPr>
              <w:pStyle w:val="Compact"/>
              <w:jc w:val="left"/>
            </w:pPr>
            <w:r>
              <w:t xml:space="preserve">Recurrent Revenue ($)</w:t>
            </w:r>
          </w:p>
        </w:tc>
        <w:tc>
          <w:p>
            <w:pPr>
              <w:pStyle w:val="Compact"/>
              <w:jc w:val="left"/>
            </w:pPr>
            <w:r>
              <w:t xml:space="preserve">244.687m</w:t>
            </w:r>
          </w:p>
        </w:tc>
        <w:tc>
          <w:p>
            <w:pPr>
              <w:pStyle w:val="Compact"/>
              <w:jc w:val="left"/>
            </w:pPr>
            <w:r>
              <w:t xml:space="preserve">200.065m</w:t>
            </w:r>
          </w:p>
        </w:tc>
        <w:tc>
          <w:p>
            <w:pPr>
              <w:pStyle w:val="Compact"/>
              <w:jc w:val="left"/>
            </w:pPr>
            <w:r>
              <w:t xml:space="preserve">231.084m</w:t>
            </w:r>
          </w:p>
        </w:tc>
        <w:tc>
          <w:p>
            <w:pPr>
              <w:pStyle w:val="Compact"/>
              <w:jc w:val="left"/>
            </w:pPr>
            <w:r>
              <w:t xml:space="preserve">184.490m</w:t>
            </w:r>
          </w:p>
        </w:tc>
        <w:tc>
          <w:p>
            <w:pPr>
              <w:pStyle w:val="Compact"/>
              <w:jc w:val="left"/>
            </w:pPr>
            <w:r>
              <w:t xml:space="preserve">186.899m</w:t>
            </w:r>
          </w:p>
        </w:tc>
        <w:tc>
          <w:p>
            <w:pPr>
              <w:pStyle w:val="Compact"/>
              <w:jc w:val="left"/>
            </w:pPr>
            <w:r>
              <w:t xml:space="preserve">157.512m</w:t>
            </w:r>
          </w:p>
        </w:tc>
        <w:tc>
          <w:p>
            <w:pPr>
              <w:pStyle w:val="Compact"/>
              <w:jc w:val="left"/>
            </w:pPr>
            <w:r>
              <w:t xml:space="preserve">160.672m</w:t>
            </w:r>
          </w:p>
        </w:tc>
        <w:tc>
          <w:p>
            <w:pPr>
              <w:pStyle w:val="Compact"/>
              <w:jc w:val="left"/>
            </w:pPr>
            <w:r>
              <w:t xml:space="preserve">138.557m</w:t>
            </w:r>
          </w:p>
        </w:tc>
        <w:tc>
          <w:p>
            <w:pPr>
              <w:pStyle w:val="Compact"/>
              <w:jc w:val="left"/>
            </w:pPr>
            <w:r>
              <w:t xml:space="preserve">124.166m</w:t>
            </w:r>
          </w:p>
        </w:tc>
        <w:tc>
          <w:p>
            <w:pPr>
              <w:pStyle w:val="Compact"/>
              <w:jc w:val="left"/>
            </w:pPr>
            <w:r>
              <w:t xml:space="preserve">117.372m</w:t>
            </w:r>
          </w:p>
        </w:tc>
      </w:tr>
      <w:tr>
        <w:tc>
          <w:p>
            <w:pPr>
              <w:pStyle w:val="Compact"/>
              <w:jc w:val="left"/>
            </w:pPr>
            <w:r>
              <w:t xml:space="preserve">- Rates and Charges</w:t>
            </w:r>
          </w:p>
        </w:tc>
        <w:tc>
          <w:p>
            <w:pPr>
              <w:pStyle w:val="Compact"/>
              <w:jc w:val="left"/>
            </w:pPr>
            <w:r>
              <w:t xml:space="preserve">116.935m</w:t>
            </w:r>
          </w:p>
        </w:tc>
        <w:tc>
          <w:p>
            <w:pPr>
              <w:pStyle w:val="Compact"/>
              <w:jc w:val="left"/>
            </w:pPr>
            <w:r>
              <w:t xml:space="preserve">110.387m</w:t>
            </w:r>
          </w:p>
        </w:tc>
        <w:tc>
          <w:p>
            <w:pPr>
              <w:pStyle w:val="Compact"/>
              <w:jc w:val="left"/>
            </w:pPr>
            <w:r>
              <w:t xml:space="preserve">104.967m</w:t>
            </w:r>
          </w:p>
        </w:tc>
        <w:tc>
          <w:p>
            <w:pPr>
              <w:pStyle w:val="Compact"/>
              <w:jc w:val="left"/>
            </w:pPr>
            <w:r>
              <w:t xml:space="preserve">98.179m</w:t>
            </w:r>
          </w:p>
        </w:tc>
        <w:tc>
          <w:p>
            <w:pPr>
              <w:pStyle w:val="Compact"/>
              <w:jc w:val="left"/>
            </w:pPr>
            <w:r>
              <w:t xml:space="preserve">90.927m</w:t>
            </w:r>
          </w:p>
        </w:tc>
        <w:tc>
          <w:p>
            <w:pPr>
              <w:pStyle w:val="Compact"/>
              <w:jc w:val="left"/>
            </w:pPr>
            <w:r>
              <w:t xml:space="preserve">74.905m</w:t>
            </w:r>
          </w:p>
        </w:tc>
        <w:tc>
          <w:p>
            <w:pPr>
              <w:pStyle w:val="Compact"/>
              <w:jc w:val="left"/>
            </w:pPr>
            <w:r>
              <w:t xml:space="preserve">77.258m</w:t>
            </w:r>
          </w:p>
        </w:tc>
        <w:tc>
          <w:p>
            <w:pPr>
              <w:pStyle w:val="Compact"/>
              <w:jc w:val="left"/>
            </w:pPr>
            <w:r>
              <w:t xml:space="preserve">64.443m</w:t>
            </w:r>
          </w:p>
        </w:tc>
        <w:tc>
          <w:p>
            <w:pPr>
              <w:pStyle w:val="Compact"/>
              <w:jc w:val="left"/>
            </w:pPr>
            <w:r>
              <w:t xml:space="preserve">65.900m</w:t>
            </w:r>
          </w:p>
        </w:tc>
        <w:tc>
          <w:p>
            <w:pPr>
              <w:pStyle w:val="Compact"/>
              <w:jc w:val="left"/>
            </w:pPr>
            <w:r>
              <w:t xml:space="preserve">62.561m</w:t>
            </w:r>
          </w:p>
        </w:tc>
      </w:tr>
      <w:tr>
        <w:tc>
          <w:p>
            <w:pPr>
              <w:pStyle w:val="Compact"/>
              <w:jc w:val="left"/>
            </w:pPr>
            <w:r>
              <w:t xml:space="preserve">- VGC Grants</w:t>
            </w:r>
          </w:p>
        </w:tc>
        <w:tc>
          <w:p>
            <w:pPr>
              <w:pStyle w:val="Compact"/>
              <w:jc w:val="left"/>
            </w:pPr>
            <w:r>
              <w:t xml:space="preserve">13.084m</w:t>
            </w:r>
          </w:p>
        </w:tc>
        <w:tc>
          <w:p>
            <w:pPr>
              <w:pStyle w:val="Compact"/>
              <w:jc w:val="left"/>
            </w:pPr>
            <w:r>
              <w:t xml:space="preserve">12.797m</w:t>
            </w:r>
          </w:p>
        </w:tc>
        <w:tc>
          <w:p>
            <w:pPr>
              <w:pStyle w:val="Compact"/>
              <w:jc w:val="left"/>
            </w:pPr>
            <w:r>
              <w:t xml:space="preserve">12.379m</w:t>
            </w:r>
          </w:p>
        </w:tc>
        <w:tc>
          <w:p>
            <w:pPr>
              <w:pStyle w:val="Compact"/>
              <w:jc w:val="left"/>
            </w:pPr>
            <w:r>
              <w:t xml:space="preserve">12.152m</w:t>
            </w:r>
          </w:p>
        </w:tc>
        <w:tc>
          <w:p>
            <w:pPr>
              <w:pStyle w:val="Compact"/>
              <w:jc w:val="left"/>
            </w:pPr>
            <w:r>
              <w:t xml:space="preserve">12.066m</w:t>
            </w:r>
          </w:p>
        </w:tc>
        <w:tc>
          <w:p>
            <w:pPr>
              <w:pStyle w:val="Compact"/>
              <w:jc w:val="left"/>
            </w:pPr>
            <w:r>
              <w:t xml:space="preserve">11.781m</w:t>
            </w:r>
          </w:p>
        </w:tc>
        <w:tc>
          <w:p>
            <w:pPr>
              <w:pStyle w:val="Compact"/>
              <w:jc w:val="left"/>
            </w:pPr>
            <w:r>
              <w:t xml:space="preserve">11.313m</w:t>
            </w:r>
          </w:p>
        </w:tc>
        <w:tc>
          <w:p>
            <w:pPr>
              <w:pStyle w:val="Compact"/>
              <w:jc w:val="left"/>
            </w:pPr>
            <w:r>
              <w:t xml:space="preserve">10.641m</w:t>
            </w:r>
          </w:p>
        </w:tc>
        <w:tc>
          <w:p>
            <w:pPr>
              <w:pStyle w:val="Compact"/>
              <w:jc w:val="left"/>
            </w:pPr>
            <w:r>
              <w:t xml:space="preserve">10.265m</w:t>
            </w:r>
          </w:p>
        </w:tc>
        <w:tc>
          <w:p>
            <w:pPr>
              <w:pStyle w:val="Compact"/>
              <w:jc w:val="left"/>
            </w:pPr>
            <w:r>
              <w:t xml:space="preserve">9.775m</w:t>
            </w:r>
          </w:p>
        </w:tc>
      </w:tr>
      <w:tr>
        <w:tc>
          <w:p>
            <w:pPr>
              <w:pStyle w:val="Compact"/>
              <w:jc w:val="left"/>
            </w:pPr>
            <w:r>
              <w:t xml:space="preserve">Non-Recurrent Government Grants</w:t>
            </w:r>
            <w:r>
              <w:br w:type="textWrapping"/>
            </w:r>
          </w:p>
        </w:tc>
        <w:tc>
          <w:p>
            <w:pPr>
              <w:pStyle w:val="Compact"/>
              <w:jc w:val="left"/>
            </w:pPr>
            <w:r>
              <w:t xml:space="preserve">14.074m</w:t>
            </w:r>
            <w:r>
              <w:br w:type="textWrapping"/>
            </w:r>
          </w:p>
        </w:tc>
        <w:tc>
          <w:p>
            <w:pPr>
              <w:pStyle w:val="Compact"/>
              <w:jc w:val="left"/>
            </w:pPr>
            <w:r>
              <w:t xml:space="preserve">11.250m</w:t>
            </w:r>
            <w:r>
              <w:br w:type="textWrapping"/>
            </w:r>
          </w:p>
        </w:tc>
        <w:tc>
          <w:p>
            <w:pPr>
              <w:pStyle w:val="Compact"/>
              <w:jc w:val="left"/>
            </w:pPr>
            <w:r>
              <w:t xml:space="preserve">24.674m</w:t>
            </w:r>
            <w:r>
              <w:br w:type="textWrapping"/>
            </w:r>
          </w:p>
        </w:tc>
        <w:tc>
          <w:p>
            <w:pPr>
              <w:pStyle w:val="Compact"/>
              <w:jc w:val="left"/>
            </w:pPr>
            <w:r>
              <w:t xml:space="preserve">0.866m</w:t>
            </w:r>
            <w:r>
              <w:br w:type="textWrapping"/>
            </w:r>
          </w:p>
        </w:tc>
        <w:tc>
          <w:p>
            <w:pPr>
              <w:pStyle w:val="Compact"/>
              <w:jc w:val="left"/>
            </w:pPr>
            <w:r>
              <w:t xml:space="preserve">2.374m</w:t>
            </w:r>
            <w:r>
              <w:br w:type="textWrapping"/>
            </w:r>
          </w:p>
        </w:tc>
        <w:tc>
          <w:p>
            <w:pPr>
              <w:pStyle w:val="Compact"/>
              <w:jc w:val="left"/>
            </w:pPr>
            <w:r>
              <w:t xml:space="preserve">9.003m</w:t>
            </w:r>
            <w:r>
              <w:br w:type="textWrapping"/>
            </w:r>
          </w:p>
        </w:tc>
        <w:tc>
          <w:p>
            <w:pPr>
              <w:pStyle w:val="Compact"/>
              <w:jc w:val="left"/>
            </w:pPr>
            <w:r>
              <w:t xml:space="preserve">16.774m</w:t>
            </w:r>
            <w:r>
              <w:br w:type="textWrapping"/>
            </w:r>
          </w:p>
        </w:tc>
        <w:tc>
          <w:p>
            <w:pPr>
              <w:pStyle w:val="Compact"/>
              <w:jc w:val="left"/>
            </w:pPr>
            <w:r>
              <w:t xml:space="preserve">10.245m</w:t>
            </w:r>
            <w:r>
              <w:br w:type="textWrapping"/>
            </w:r>
          </w:p>
        </w:tc>
        <w:tc>
          <w:p>
            <w:pPr>
              <w:pStyle w:val="Compact"/>
              <w:jc w:val="left"/>
            </w:pPr>
            <w:r>
              <w:t xml:space="preserve">8.094m</w:t>
            </w:r>
            <w:r>
              <w:br w:type="textWrapping"/>
            </w:r>
          </w:p>
        </w:tc>
        <w:tc>
          <w:p>
            <w:pPr>
              <w:pStyle w:val="Compact"/>
              <w:jc w:val="left"/>
            </w:pPr>
            <w:r>
              <w:t xml:space="preserve">8.994m</w:t>
            </w:r>
            <w:r>
              <w:br w:type="textWrapping"/>
            </w:r>
          </w:p>
        </w:tc>
      </w:tr>
      <w:tr>
        <w:tc>
          <w:p>
            <w:pPr>
              <w:pStyle w:val="Compact"/>
              <w:jc w:val="left"/>
            </w:pPr>
            <w:r>
              <w:t xml:space="preserve">Recurrent Government Grants</w:t>
            </w:r>
            <w:r>
              <w:br w:type="textWrapping"/>
            </w:r>
          </w:p>
        </w:tc>
        <w:tc>
          <w:p>
            <w:pPr>
              <w:pStyle w:val="Compact"/>
              <w:jc w:val="left"/>
            </w:pPr>
            <w:r>
              <w:t xml:space="preserve">25.458m</w:t>
            </w:r>
            <w:r>
              <w:br w:type="textWrapping"/>
            </w:r>
          </w:p>
        </w:tc>
        <w:tc>
          <w:p>
            <w:pPr>
              <w:pStyle w:val="Compact"/>
              <w:jc w:val="left"/>
            </w:pPr>
            <w:r>
              <w:t xml:space="preserve">36.159m</w:t>
            </w:r>
            <w:r>
              <w:br w:type="textWrapping"/>
            </w:r>
          </w:p>
        </w:tc>
        <w:tc>
          <w:p>
            <w:pPr>
              <w:pStyle w:val="Compact"/>
              <w:jc w:val="left"/>
            </w:pPr>
            <w:r>
              <w:t xml:space="preserve">43.314m</w:t>
            </w:r>
            <w:r>
              <w:br w:type="textWrapping"/>
            </w:r>
          </w:p>
        </w:tc>
        <w:tc>
          <w:p>
            <w:pPr>
              <w:pStyle w:val="Compact"/>
              <w:jc w:val="left"/>
            </w:pPr>
            <w:r>
              <w:t xml:space="preserve">32.079m</w:t>
            </w:r>
            <w:r>
              <w:br w:type="textWrapping"/>
            </w:r>
          </w:p>
        </w:tc>
        <w:tc>
          <w:p>
            <w:pPr>
              <w:pStyle w:val="Compact"/>
              <w:jc w:val="left"/>
            </w:pPr>
            <w:r>
              <w:t xml:space="preserve">13.368m</w:t>
            </w:r>
            <w:r>
              <w:br w:type="textWrapping"/>
            </w:r>
          </w:p>
        </w:tc>
        <w:tc>
          <w:p>
            <w:pPr>
              <w:pStyle w:val="Compact"/>
              <w:jc w:val="left"/>
            </w:pPr>
            <w:r>
              <w:t xml:space="preserve">11.996m</w:t>
            </w:r>
            <w:r>
              <w:br w:type="textWrapping"/>
            </w:r>
          </w:p>
        </w:tc>
        <w:tc>
          <w:p>
            <w:pPr>
              <w:pStyle w:val="Compact"/>
              <w:jc w:val="left"/>
            </w:pPr>
            <w:r>
              <w:t xml:space="preserve">11.378m</w:t>
            </w:r>
            <w:r>
              <w:br w:type="textWrapping"/>
            </w:r>
          </w:p>
        </w:tc>
        <w:tc>
          <w:p>
            <w:pPr>
              <w:pStyle w:val="Compact"/>
              <w:jc w:val="left"/>
            </w:pPr>
            <w:r>
              <w:t xml:space="preserve">13.381m</w:t>
            </w:r>
            <w:r>
              <w:br w:type="textWrapping"/>
            </w:r>
          </w:p>
        </w:tc>
        <w:tc>
          <w:p>
            <w:pPr>
              <w:pStyle w:val="Compact"/>
              <w:jc w:val="left"/>
            </w:pPr>
            <w:r>
              <w:t xml:space="preserve">12.661m</w:t>
            </w:r>
            <w:r>
              <w:br w:type="textWrapping"/>
            </w:r>
          </w:p>
        </w:tc>
        <w:tc>
          <w:p>
            <w:pPr>
              <w:pStyle w:val="Compact"/>
              <w:jc w:val="left"/>
            </w:pPr>
            <w:r>
              <w:t xml:space="preserve">10.382m</w:t>
            </w:r>
            <w:r>
              <w:br w:type="textWrapping"/>
            </w:r>
          </w:p>
        </w:tc>
      </w:tr>
    </w:tbl>
    <w:sectPr w:rsidR="000B1BB4" w:rsidRPr="000B1BB4" w:rsidSect="00D65D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News Gothic MT">
    <w:panose1 w:val="020B0504020203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1e40197d"/>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522b2ff0"/>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B4"/>
    <w:pPr>
      <w:spacing w:before="120" w:after="120"/>
    </w:pPr>
    <w:rPr>
      <w:rFonts w:ascii="Avenir Book" w:hAnsi="Avenir Book"/>
      <w:color w:val="28384B"/>
      <w:lang w:val="en-AU"/>
    </w:rPr>
  </w:style>
  <w:style w:type="paragraph" w:styleId="Heading1">
    <w:name w:val="heading 1"/>
    <w:basedOn w:val="Normal"/>
    <w:next w:val="Normal"/>
    <w:link w:val="Heading1Char"/>
    <w:uiPriority w:val="9"/>
    <w:qFormat/>
    <w:rsid w:val="000B1BB4"/>
    <w:pPr>
      <w:keepNext/>
      <w:keepLines/>
      <w:spacing w:before="480" w:after="0"/>
      <w:outlineLvl w:val="0"/>
    </w:pPr>
    <w:rPr>
      <w:rFonts w:ascii="News Gothic MT" w:eastAsiaTheme="majorEastAsia" w:hAnsi="News Gothic MT" w:cstheme="majorBidi"/>
      <w:b/>
      <w:bCs/>
      <w:color w:val="212F3E"/>
      <w:sz w:val="32"/>
      <w:szCs w:val="32"/>
    </w:rPr>
  </w:style>
  <w:style w:type="paragraph" w:styleId="Heading2">
    <w:name w:val="heading 2"/>
    <w:basedOn w:val="Normal"/>
    <w:next w:val="Normal"/>
    <w:link w:val="Heading2Char"/>
    <w:uiPriority w:val="9"/>
    <w:unhideWhenUsed/>
    <w:qFormat/>
    <w:rsid w:val="000B1BB4"/>
    <w:pPr>
      <w:keepNext/>
      <w:keepLines/>
      <w:spacing w:before="200"/>
      <w:outlineLvl w:val="1"/>
    </w:pPr>
    <w:rPr>
      <w:rFonts w:ascii="Avenir Black" w:eastAsiaTheme="majorEastAsia" w:hAnsi="Avenir Black"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B4"/>
    <w:rPr>
      <w:rFonts w:ascii="News Gothic MT" w:eastAsiaTheme="majorEastAsia" w:hAnsi="News Gothic MT" w:cstheme="majorBidi"/>
      <w:b/>
      <w:bCs/>
      <w:color w:val="212F3E"/>
      <w:sz w:val="32"/>
      <w:szCs w:val="32"/>
      <w:lang w:val="en-AU"/>
    </w:rPr>
  </w:style>
  <w:style w:type="character" w:customStyle="1" w:styleId="Heading2Char">
    <w:name w:val="Heading 2 Char"/>
    <w:basedOn w:val="DefaultParagraphFont"/>
    <w:link w:val="Heading2"/>
    <w:uiPriority w:val="9"/>
    <w:rsid w:val="000B1BB4"/>
    <w:rPr>
      <w:rFonts w:ascii="Avenir Black" w:eastAsiaTheme="majorEastAsia" w:hAnsi="Avenir Black" w:cstheme="majorBidi"/>
      <w:b/>
      <w:bCs/>
      <w:color w:val="28384B"/>
      <w:sz w:val="26"/>
      <w:szCs w:val="26"/>
      <w:lang w:val="en-AU"/>
    </w:rPr>
  </w:style>
  <w:style w:type="paragraph" w:styleId="Title">
    <w:name w:val="Title"/>
    <w:basedOn w:val="Normal"/>
    <w:next w:val="Normal"/>
    <w:link w:val="TitleChar"/>
    <w:uiPriority w:val="10"/>
    <w:qFormat/>
    <w:rsid w:val="005457E9"/>
    <w:pPr>
      <w:pBdr>
        <w:bottom w:val="single" w:sz="8" w:space="4" w:color="4F81BD" w:themeColor="accent1"/>
      </w:pBdr>
      <w:spacing w:before="0" w:after="300"/>
      <w:contextualSpacing/>
    </w:pPr>
    <w:rPr>
      <w:rFonts w:eastAsiaTheme="majorEastAsia" w:cstheme="majorBidi"/>
      <w:color w:val="000000"/>
      <w:spacing w:val="5"/>
      <w:kern w:val="28"/>
      <w:sz w:val="52"/>
      <w:szCs w:val="52"/>
    </w:rPr>
  </w:style>
  <w:style w:type="character" w:customStyle="1" w:styleId="TitleChar">
    <w:name w:val="Title Char"/>
    <w:basedOn w:val="DefaultParagraphFont"/>
    <w:link w:val="Title"/>
    <w:uiPriority w:val="10"/>
    <w:rsid w:val="005457E9"/>
    <w:rPr>
      <w:rFonts w:ascii="Arial" w:eastAsiaTheme="majorEastAsia" w:hAnsi="Arial" w:cstheme="majorBidi"/>
      <w:color w:val="000000"/>
      <w:spacing w:val="5"/>
      <w:kern w:val="28"/>
      <w:sz w:val="52"/>
      <w:szCs w:val="52"/>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5" Target="media/rId25.png" /><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llarat.vic.gov.au" TargetMode="External" /><Relationship Type="http://schemas.openxmlformats.org/officeDocument/2006/relationships/hyperlink" Id="rId43" Target="http://www.ballarat.vic.gov.au/city/about-us/annual-report" TargetMode="External" /><Relationship Type="http://schemas.openxmlformats.org/officeDocument/2006/relationships/hyperlink" Id="rId31" Target="http://www.ballarat.vic.gov.au/pc"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41" Target="http://www.localgovernment.vic.gov.au/our-programs/council-community-satisfaction-survey" TargetMode="External" /><Relationship Type="http://schemas.openxmlformats.org/officeDocument/2006/relationships/hyperlink" Id="rId37" Target="http://www.maggolee.org.au/wp-content/uploads/2015/09/LGA-Profile-Final-Ballarat.pdf" TargetMode="External" /><Relationship Type="http://schemas.openxmlformats.org/officeDocument/2006/relationships/hyperlink" Id="rId35" Target="http://www.planning.vic.gov.au/__data/assets/pdf_file/0013/11443/Ballarat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llarat" TargetMode="External" /><Relationship Type="http://schemas.openxmlformats.org/officeDocument/2006/relationships/hyperlink" Id="rId29" Target="mailto:ballcity@ballarat.vic.gov.au" TargetMode="External" /></Relationships>
</file>

<file path=word/_rels/footnotes.xml.rels><?xml version="1.0" encoding="UTF-8"?>
<Relationships xmlns="http://schemas.openxmlformats.org/package/2006/relationships"><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ballarat.vic.gov.au" TargetMode="External" /><Relationship Type="http://schemas.openxmlformats.org/officeDocument/2006/relationships/hyperlink" Id="rId43" Target="http://www.ballarat.vic.gov.au/city/about-us/annual-report" TargetMode="External" /><Relationship Type="http://schemas.openxmlformats.org/officeDocument/2006/relationships/hyperlink" Id="rId31" Target="http://www.ballarat.vic.gov.au/pc"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41" Target="http://www.localgovernment.vic.gov.au/our-programs/council-community-satisfaction-survey" TargetMode="External" /><Relationship Type="http://schemas.openxmlformats.org/officeDocument/2006/relationships/hyperlink" Id="rId37" Target="http://www.maggolee.org.au/wp-content/uploads/2015/09/LGA-Profile-Final-Ballarat.pdf" TargetMode="External" /><Relationship Type="http://schemas.openxmlformats.org/officeDocument/2006/relationships/hyperlink" Id="rId35" Target="http://www.planning.vic.gov.au/__data/assets/pdf_file/0013/11443/Ballarat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ballarat" TargetMode="External" /><Relationship Type="http://schemas.openxmlformats.org/officeDocument/2006/relationships/hyperlink" Id="rId29" Target="mailto:ballcity@ballarat.vic.gov.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Company>Ladoo</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