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media/rId25.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495800" cy="673100"/>
            <wp:effectExtent b="0" l="0" r="0" t="0"/>
            <wp:docPr descr="" id="1" name="Picture"/>
            <a:graphic>
              <a:graphicData uri="http://schemas.openxmlformats.org/drawingml/2006/picture">
                <pic:pic>
                  <pic:nvPicPr>
                    <pic:cNvPr descr="https://knowyourcouncil.vic.gov.au/__data/assets/image/0007/18898/logo-big.png" id="0" name="Picture"/>
                    <pic:cNvPicPr>
                      <a:picLocks noChangeArrowheads="1" noChangeAspect="1"/>
                    </pic:cNvPicPr>
                  </pic:nvPicPr>
                  <pic:blipFill>
                    <a:blip r:embed="rId25"/>
                    <a:stretch>
                      <a:fillRect/>
                    </a:stretch>
                  </pic:blipFill>
                  <pic:spPr bwMode="auto">
                    <a:xfrm>
                      <a:off x="0" y="0"/>
                      <a:ext cx="4495800" cy="673100"/>
                    </a:xfrm>
                    <a:prstGeom prst="rect">
                      <a:avLst/>
                    </a:prstGeom>
                    <a:noFill/>
                    <a:ln w="9525">
                      <a:noFill/>
                      <a:headEnd/>
                      <a:tailEnd/>
                    </a:ln>
                  </pic:spPr>
                </pic:pic>
              </a:graphicData>
            </a:graphic>
          </wp:inline>
        </w:drawing>
      </w:r>
      <w:r>
        <w:t xml:space="preserve"> </w:t>
      </w:r>
      <w:hyperlink r:id="rId26">
        <w:r>
          <w:rPr>
            <w:rStyle w:val="Hyperlink"/>
          </w:rPr>
          <w:t xml:space="preserve">https://knowyourcouncil.vic.gov.au/councils/bass-coast</w:t>
        </w:r>
      </w:hyperlink>
    </w:p>
    <w:p>
      <w:pPr>
        <w:pStyle w:val="Heading1"/>
      </w:pPr>
      <w:bookmarkStart w:id="27" w:name="bass-coast-shire"/>
      <w:bookmarkEnd w:id="27"/>
      <w:r>
        <w:t xml:space="preserve">Bass Coast Shire</w:t>
      </w:r>
    </w:p>
    <w:p>
      <w:pPr>
        <w:pStyle w:val="Heading2"/>
      </w:pPr>
      <w:bookmarkStart w:id="28" w:name="contact-information"/>
      <w:bookmarkEnd w:id="28"/>
      <w:r>
        <w:t xml:space="preserve">Contact Information</w:t>
      </w:r>
    </w:p>
    <w:p>
      <w:pPr>
        <w:pStyle w:val="Compact"/>
        <w:numPr>
          <w:numId w:val="1001"/>
          <w:ilvl w:val="0"/>
        </w:numPr>
      </w:pPr>
      <w:r>
        <w:t xml:space="preserve">Address:</w:t>
      </w:r>
      <w:r>
        <w:t xml:space="preserve"> </w:t>
      </w:r>
      <w:r>
        <w:t xml:space="preserve">76 McBride Avenue, WONTHAGGI 3995</w:t>
      </w:r>
    </w:p>
    <w:p>
      <w:pPr>
        <w:pStyle w:val="Compact"/>
        <w:numPr>
          <w:numId w:val="1001"/>
          <w:ilvl w:val="0"/>
        </w:numPr>
      </w:pPr>
      <w:r>
        <w:t xml:space="preserve">Postal:</w:t>
      </w:r>
      <w:r>
        <w:t xml:space="preserve"> </w:t>
      </w:r>
      <w:r>
        <w:t xml:space="preserve">PO Box 118, WONTHAGGI 3995</w:t>
      </w:r>
    </w:p>
    <w:p>
      <w:pPr>
        <w:pStyle w:val="Compact"/>
        <w:numPr>
          <w:numId w:val="1001"/>
          <w:ilvl w:val="0"/>
        </w:numPr>
      </w:pPr>
      <w:r>
        <w:t xml:space="preserve">Phone:</w:t>
      </w:r>
      <w:r>
        <w:t xml:space="preserve"> </w:t>
      </w:r>
      <w:r>
        <w:t xml:space="preserve">03 5671 2211</w:t>
      </w:r>
    </w:p>
    <w:p>
      <w:pPr>
        <w:pStyle w:val="Compact"/>
        <w:numPr>
          <w:numId w:val="1001"/>
          <w:ilvl w:val="0"/>
        </w:numPr>
      </w:pPr>
      <w:r>
        <w:t xml:space="preserve">Fax:</w:t>
      </w:r>
      <w:r>
        <w:t xml:space="preserve"> </w:t>
      </w:r>
      <w:r>
        <w:t xml:space="preserve">03 5671 2222</w:t>
      </w:r>
    </w:p>
    <w:p>
      <w:pPr>
        <w:pStyle w:val="Compact"/>
        <w:numPr>
          <w:numId w:val="1001"/>
          <w:ilvl w:val="0"/>
        </w:numPr>
      </w:pPr>
      <w:r>
        <w:t xml:space="preserve">Contact:</w:t>
      </w:r>
      <w:r>
        <w:t xml:space="preserve"> </w:t>
      </w:r>
      <w:r>
        <w:t xml:space="preserve"> </w:t>
      </w:r>
      <w:hyperlink r:id="rId29">
        <w:r>
          <w:rPr>
            <w:rStyle w:val="Hyperlink"/>
          </w:rPr>
          <w:t xml:space="preserve">basscoast@basscoast.vic.gov.au</w:t>
        </w:r>
      </w:hyperlink>
      <w:r>
        <w:t xml:space="preserve"> </w:t>
      </w:r>
    </w:p>
    <w:p>
      <w:pPr>
        <w:pStyle w:val="Compact"/>
        <w:numPr>
          <w:numId w:val="1001"/>
          <w:ilvl w:val="0"/>
        </w:numPr>
      </w:pPr>
      <w:r>
        <w:t xml:space="preserve">Web:</w:t>
      </w:r>
      <w:r>
        <w:t xml:space="preserve"> </w:t>
      </w:r>
      <w:hyperlink r:id="rId30">
        <w:r>
          <w:rPr>
            <w:rStyle w:val="Hyperlink"/>
          </w:rPr>
          <w:t xml:space="preserve">http://www.basscoast.vic.gov.au</w:t>
        </w:r>
      </w:hyperlink>
    </w:p>
    <w:p>
      <w:pPr>
        <w:pStyle w:val="Compact"/>
        <w:numPr>
          <w:numId w:val="1001"/>
          <w:ilvl w:val="0"/>
        </w:numPr>
      </w:pPr>
      <w:r>
        <w:t xml:space="preserve">Mayor:</w:t>
      </w:r>
      <w:r>
        <w:t xml:space="preserve"> </w:t>
      </w:r>
      <w:r>
        <w:t xml:space="preserve">Cr Brett Tessari</w:t>
      </w:r>
    </w:p>
    <w:p>
      <w:pPr>
        <w:pStyle w:val="Compact"/>
        <w:numPr>
          <w:numId w:val="1001"/>
          <w:ilvl w:val="0"/>
        </w:numPr>
      </w:pPr>
      <w:r>
        <w:t xml:space="preserve">CEO:</w:t>
      </w:r>
      <w:r>
        <w:t xml:space="preserve"> </w:t>
      </w:r>
      <w:r>
        <w:t xml:space="preserve">Ms Ali Wastie</w:t>
      </w:r>
    </w:p>
    <w:p>
      <w:pPr>
        <w:pStyle w:val="Compact"/>
        <w:numPr>
          <w:numId w:val="1001"/>
          <w:ilvl w:val="0"/>
        </w:numPr>
      </w:pPr>
      <w:r>
        <w:t xml:space="preserve">Service Seeker:</w:t>
      </w:r>
      <w:r>
        <w:t xml:space="preserve"> </w:t>
      </w:r>
      <w:hyperlink r:id="rId31">
        <w:r>
          <w:rPr>
            <w:rStyle w:val="Hyperlink"/>
          </w:rPr>
          <w:t xml:space="preserve">http://www.basscoast.vic.gov.au/Community/Community-Services</w:t>
        </w:r>
      </w:hyperlink>
    </w:p>
    <w:p>
      <w:pPr>
        <w:pStyle w:val="Heading2"/>
      </w:pPr>
      <w:bookmarkStart w:id="32" w:name="profile"/>
      <w:bookmarkEnd w:id="32"/>
      <w:r>
        <w:t xml:space="preserve">Profile</w:t>
      </w:r>
    </w:p>
    <w:p>
      <w:pPr>
        <w:pStyle w:val="FirstParagraph"/>
      </w:pPr>
      <w:r>
        <w:t xml:space="preserve">Bass Coast is located about 130 kilometres south-east of Melbourne and is predominantly a coastal municipality with a unique coastline complemented by a beautiful hinterland.</w:t>
      </w:r>
    </w:p>
    <w:p>
      <w:pPr>
        <w:pStyle w:val="BodyText"/>
      </w:pPr>
      <w:r>
        <w:t xml:space="preserve">Bass Coast is one of the few Victorian municipalities whose two major industries are tourism and agriculture. Cattle and dairy farming are the area's agricultural backbone, with boutique farming such as venison and vineyards fast emerging. </w:t>
      </w:r>
    </w:p>
    <w:p>
      <w:pPr>
        <w:pStyle w:val="BodyText"/>
      </w:pPr>
      <w:r>
        <w:t xml:space="preserve">Bass Coast Shire has one of the highest growth rates in Victoria and 29% of the resident population is over the age of 60. During peak holiday periods, Bass Coast's population exceeds 60,000.</w:t>
      </w:r>
    </w:p>
    <w:p>
      <w:pPr>
        <w:pStyle w:val="BodyText"/>
      </w:pPr>
      <w:r>
        <w:t xml:space="preserve">The Shire is visited by 35% of Melbourne's international visitors each year.</w:t>
      </w:r>
    </w:p>
    <w:p>
      <w:pPr>
        <w:pStyle w:val="BodyText"/>
      </w:pPr>
      <w:r>
        <w:t xml:space="preserve">Bass Coast is part of the Large Shire council grouping and can be compared with similar councils. More information on council groupings can be found</w:t>
      </w:r>
      <w:r>
        <w:t xml:space="preserve"> </w:t>
      </w:r>
      <w:hyperlink r:id="rId33">
        <w:r>
          <w:rPr>
            <w:rStyle w:val="Hyperlink"/>
          </w:rPr>
          <w:t xml:space="preserve">here</w:t>
        </w:r>
      </w:hyperlink>
      <w:r>
        <w:t xml:space="preserve">. </w:t>
      </w:r>
    </w:p>
    <w:p>
      <w:pPr>
        <w:pStyle w:val="Heading3"/>
      </w:pPr>
      <w:bookmarkStart w:id="34" w:name="victoria-in-future-profile"/>
      <w:bookmarkEnd w:id="34"/>
      <w:r>
        <w:t xml:space="preserve">Victoria in Future Profile</w:t>
      </w:r>
    </w:p>
    <w:p>
      <w:pPr>
        <w:pStyle w:val="FirstParagraph"/>
      </w:pPr>
      <w:hyperlink r:id="rId35">
        <w:r>
          <w:rPr>
            <w:rStyle w:val="Hyperlink"/>
          </w:rPr>
          <w:t xml:space="preserve">Bass Coast - Victoria in Future 2016</w:t>
        </w:r>
      </w:hyperlink>
    </w:p>
    <w:p>
      <w:pPr>
        <w:pStyle w:val="Heading3"/>
      </w:pPr>
      <w:bookmarkStart w:id="36" w:name="victoria-in-future-profile-1"/>
      <w:bookmarkEnd w:id="36"/>
      <w:r>
        <w:t xml:space="preserve">Victoria in Future Profile</w:t>
      </w:r>
    </w:p>
    <w:p>
      <w:pPr>
        <w:pStyle w:val="FirstParagraph"/>
      </w:pPr>
      <w:hyperlink r:id="rId37">
        <w:r>
          <w:rPr>
            <w:rStyle w:val="Hyperlink"/>
          </w:rPr>
          <w:t xml:space="preserve">Bass Coast Aboriginal Community Profile (includes Aboriginal organisations)</w:t>
        </w:r>
      </w:hyperlink>
      <w:r>
        <w:br w:type="textWrapping"/>
      </w:r>
    </w:p>
    <w:p>
      <w:pPr>
        <w:pStyle w:val="Heading2"/>
      </w:pPr>
      <w:bookmarkStart w:id="38" w:name="localities"/>
      <w:bookmarkEnd w:id="38"/>
      <w:r>
        <w:t xml:space="preserve">Localities</w:t>
      </w:r>
    </w:p>
    <w:p>
      <w:pPr>
        <w:pStyle w:val="FirstParagraph"/>
      </w:pPr>
      <w:r>
        <w:t xml:space="preserve">Adams Estate, Almurta, Anderson, Archies Creek, Bass, Blackwood Forest, Cape Paterson, Cape Woolamai, Churchill Island, Corinella, Coronet Bay, Cowes, Dalyston, Dudley South, Glen Alvie, Glen Forbes, Grantville, Harmers Haven, Inverloch, Jam Jerrup, Kernot, Kilcunda, Kongwak, Krowera, Lance Creek, Lang Lang, Loch, Newhaven, Outtrim, Pioneer Bay, Pound Creek, Powlett River, Queensferry, Rhyll, Ryanston, San Remo, Silverleaves, Smiths Beach, St Clair, Summerlands, Sunderland Bay, Sunset Strip, Surf Beach, Tenby Point, The Gurdies, Ventnor, Wattle Bank, West Creek, Wimbleton Heights, Wonthaggi, Wonthaggi North, Woodleigh and Woolamai.</w:t>
      </w:r>
    </w:p>
    <w:p>
      <w:pPr>
        <w:pStyle w:val="BodyText"/>
      </w:pPr>
      <w:r>
        <w:t xml:space="preserve">For a detailed map showing shire boundaries and locality names, visit</w:t>
      </w:r>
      <w:r>
        <w:t xml:space="preserve"> </w:t>
      </w:r>
      <w:hyperlink r:id="rId39">
        <w:r>
          <w:rPr>
            <w:rStyle w:val="Hyperlink"/>
          </w:rPr>
          <w:t xml:space="preserve">VICNAMES</w:t>
        </w:r>
      </w:hyperlink>
      <w:r>
        <w:t xml:space="preserve">.</w:t>
      </w:r>
    </w:p>
    <w:p>
      <w:pPr>
        <w:pStyle w:val="Heading2"/>
      </w:pPr>
      <w:bookmarkStart w:id="40" w:name="community-satisfaction"/>
      <w:bookmarkEnd w:id="40"/>
      <w:r>
        <w:t xml:space="preserve">Community Satisfaction</w:t>
      </w:r>
    </w:p>
    <w:p>
      <w:pPr>
        <w:pStyle w:val="FirstParagraph"/>
      </w:pPr>
      <w:hyperlink r:id="rId41">
        <w:r>
          <w:rPr>
            <w:rStyle w:val="Hyperlink"/>
          </w:rPr>
          <w:t xml:space="preserve">Bass Coast Shire Council Local Government Community Satisfaction Survey Results</w:t>
        </w:r>
      </w:hyperlink>
    </w:p>
    <w:p>
      <w:pPr>
        <w:pStyle w:val="Heading2"/>
      </w:pPr>
      <w:bookmarkStart w:id="42" w:name="annual-report"/>
      <w:bookmarkEnd w:id="42"/>
      <w:r>
        <w:t xml:space="preserve">Annual Report</w:t>
      </w:r>
    </w:p>
    <w:p>
      <w:pPr>
        <w:pStyle w:val="FirstParagraph"/>
      </w:pPr>
      <w:hyperlink r:id="rId43">
        <w:r>
          <w:rPr>
            <w:rStyle w:val="Hyperlink"/>
          </w:rPr>
          <w:t xml:space="preserve">Bass Coast Shire Council Annual Report 2019/20</w:t>
        </w:r>
      </w:hyperlink>
    </w:p>
    <w:p>
      <w:pPr>
        <w:pStyle w:val="BodyText"/>
      </w:pPr>
      <w:r>
        <w:t xml:space="preserve"> </w:t>
      </w:r>
    </w:p>
    <w:p>
      <w:pPr>
        <w:pStyle w:val="BodyText"/>
      </w:pPr>
      <w:r>
        <w:t xml:space="preserve"> </w:t>
      </w:r>
    </w:p>
    <w:p>
      <w:pPr>
        <w:pStyle w:val="Heading2"/>
      </w:pPr>
      <w:bookmarkStart w:id="44" w:name="elections"/>
      <w:bookmarkEnd w:id="44"/>
      <w:r>
        <w:t xml:space="preserve">Elections</w:t>
      </w:r>
    </w:p>
    <w:p>
      <w:pPr>
        <w:pStyle w:val="FirstParagraph"/>
      </w:pPr>
      <w:r>
        <w:t xml:space="preserve">For further information regarding Local Government elections visit:</w:t>
      </w:r>
    </w:p>
    <w:p>
      <w:pPr>
        <w:pStyle w:val="BodyText"/>
      </w:pPr>
      <w:hyperlink r:id="rId45"/>
    </w:p>
    <w:p>
      <w:pPr>
        <w:pStyle w:val="Compact"/>
        <w:numPr>
          <w:numId w:val="1002"/>
          <w:ilvl w:val="0"/>
        </w:numPr>
      </w:pPr>
      <w:hyperlink r:id="rId46">
        <w:r>
          <w:rPr>
            <w:rStyle w:val="Hyperlink"/>
          </w:rPr>
          <w:t xml:space="preserve">Local Government Victoria</w:t>
        </w:r>
      </w:hyperlink>
    </w:p>
    <w:p>
      <w:pPr>
        <w:pStyle w:val="Compact"/>
        <w:numPr>
          <w:numId w:val="1002"/>
          <w:ilvl w:val="0"/>
        </w:numPr>
      </w:pPr>
      <w:hyperlink r:id="rId47">
        <w:r>
          <w:rPr>
            <w:rStyle w:val="Hyperlink"/>
          </w:rPr>
          <w:t xml:space="preserve">Victorian Electoral Commission</w:t>
        </w:r>
      </w:hyperlink>
      <w:r>
        <w:t xml:space="preserve"> </w:t>
      </w:r>
    </w:p>
    <w:p>
      <w:pPr>
        <w:pStyle w:val="Heading2"/>
      </w:pPr>
      <w:bookmarkStart w:id="48" w:name="councillors"/>
      <w:bookmarkEnd w:id="48"/>
      <w:r>
        <w:t xml:space="preserve">Councillors</w:t>
      </w:r>
    </w:p>
    <w:p>
      <w:pPr>
        <w:pStyle w:val="FirstParagraph"/>
      </w:pPr>
      <w:r>
        <w:t xml:space="preserve">9 Councillors elected in October 2020.</w:t>
      </w:r>
    </w:p>
    <w:p>
      <w:pPr>
        <w:pStyle w:val="Compact"/>
      </w:pPr>
      <w:r>
        <w:br w:type="textWrapping"/>
      </w:r>
    </w:p>
    <w:p>
      <w:pPr>
        <w:pStyle w:val="BodyText"/>
      </w:pPr>
      <w:r>
        <w:t xml:space="preserve">Bunurong - Cr Leticia Laing</w:t>
      </w:r>
    </w:p>
    <w:p>
      <w:pPr>
        <w:pStyle w:val="BodyText"/>
      </w:pPr>
      <w:r>
        <w:t xml:space="preserve">Bunurong - Cr Les Larke</w:t>
      </w:r>
    </w:p>
    <w:p>
      <w:pPr>
        <w:pStyle w:val="BodyText"/>
      </w:pPr>
      <w:r>
        <w:t xml:space="preserve">Bunurong - Cr Brett Tessari - Mayor</w:t>
      </w:r>
    </w:p>
    <w:p>
      <w:pPr>
        <w:pStyle w:val="BodyText"/>
      </w:pPr>
      <w:r>
        <w:t xml:space="preserve">Island - Cr Ron Bauer</w:t>
      </w:r>
    </w:p>
    <w:p>
      <w:pPr>
        <w:pStyle w:val="BodyText"/>
      </w:pPr>
      <w:r>
        <w:t xml:space="preserve">Island - Cr David Rooks</w:t>
      </w:r>
    </w:p>
    <w:p>
      <w:pPr>
        <w:pStyle w:val="BodyText"/>
      </w:pPr>
      <w:r>
        <w:t xml:space="preserve">Island - Cr Michael Whelan - Deputy Mayor</w:t>
      </w:r>
    </w:p>
    <w:p>
      <w:pPr>
        <w:pStyle w:val="BodyText"/>
      </w:pPr>
      <w:r>
        <w:t xml:space="preserve">Western Port - Cr Clare Le Serve</w:t>
      </w:r>
    </w:p>
    <w:p>
      <w:pPr>
        <w:pStyle w:val="BodyText"/>
      </w:pPr>
      <w:r>
        <w:t xml:space="preserve">Western Port - Cr Rochelle Halstead</w:t>
      </w:r>
    </w:p>
    <w:p>
      <w:pPr>
        <w:pStyle w:val="BodyText"/>
      </w:pPr>
      <w:r>
        <w:t xml:space="preserve">Western Port - Cr Bruce Kent </w:t>
      </w:r>
    </w:p>
    <w:p>
      <w:pPr>
        <w:pStyle w:val="Heading2"/>
      </w:pPr>
      <w:bookmarkStart w:id="49" w:name="population-data"/>
      <w:bookmarkEnd w:id="49"/>
      <w:r>
        <w:t xml:space="preserve">Population data</w:t>
      </w:r>
    </w:p>
    <w:p>
      <w:pPr>
        <w:pStyle w:val="FirstParagraph"/>
      </w:pPr>
      <w:r>
        <w:t xml:space="preserve">Estimated resident population. Source: Victoria in Future 2016 - Population and Household Projections to 2031</w:t>
      </w:r>
    </w:p>
    <w:p>
      <w:pPr>
        <w:pStyle w:val="Compact"/>
        <w:numPr>
          <w:numId w:val="1003"/>
          <w:ilvl w:val="0"/>
        </w:numPr>
      </w:pPr>
      <w:r>
        <w:rPr>
          <w:b/>
        </w:rPr>
        <w:t xml:space="preserve">2016</w:t>
      </w:r>
      <w:r>
        <w:t xml:space="preserve"> </w:t>
      </w:r>
      <w:r>
        <w:t xml:space="preserve">32,825   </w:t>
      </w:r>
    </w:p>
    <w:p>
      <w:pPr>
        <w:pStyle w:val="Compact"/>
        <w:numPr>
          <w:numId w:val="1003"/>
          <w:ilvl w:val="0"/>
        </w:numPr>
      </w:pPr>
      <w:r>
        <w:rPr>
          <w:b/>
        </w:rPr>
        <w:t xml:space="preserve">2021 </w:t>
      </w:r>
      <w:r>
        <w:t xml:space="preserve">36,990  </w:t>
      </w:r>
    </w:p>
    <w:p>
      <w:pPr>
        <w:pStyle w:val="Compact"/>
        <w:numPr>
          <w:numId w:val="1003"/>
          <w:ilvl w:val="0"/>
        </w:numPr>
      </w:pPr>
      <w:r>
        <w:rPr>
          <w:b/>
        </w:rPr>
        <w:t xml:space="preserve">2026 </w:t>
      </w:r>
      <w:r>
        <w:t xml:space="preserve">40,952  </w:t>
      </w:r>
    </w:p>
    <w:p>
      <w:pPr>
        <w:pStyle w:val="Compact"/>
        <w:numPr>
          <w:numId w:val="1003"/>
          <w:ilvl w:val="0"/>
        </w:numPr>
      </w:pPr>
      <w:r>
        <w:rPr>
          <w:b/>
        </w:rPr>
        <w:t xml:space="preserve">2031 </w:t>
      </w:r>
      <w:r>
        <w:t xml:space="preserve">44,798  </w:t>
      </w:r>
    </w:p>
    <w:p>
      <w:pPr>
        <w:pStyle w:val="Heading2"/>
      </w:pPr>
      <w:bookmarkStart w:id="50" w:name="finances"/>
      <w:bookmarkEnd w:id="50"/>
      <w:r>
        <w:t xml:space="preserve">Finances</w:t>
      </w:r>
    </w:p>
    <w:p>
      <w:pPr>
        <w:pStyle w:val="FirstParagraph"/>
      </w:pPr>
      <w:r>
        <w:t xml:space="preserve">Source: Victoria Grants Commission.</w:t>
      </w:r>
      <w:r>
        <w:br w:type="textWrapping"/>
      </w:r>
      <w:r>
        <w:t xml:space="preserve">The figures in the bottom two rows of the table show combined one-off and ongoing funding received by council from both the Federal and State Governments. It is important to note that this amount can change significantly from year to year as individual government funding programs change and natural events such as fires and floods occur.</w:t>
      </w:r>
    </w:p>
    <w:p>
      <w:pPr>
        <w:pStyle w:val="BodyText"/>
      </w:pPr>
      <w:r>
        <w:t xml:space="preserve">Data shows the amount allocated in respect of the relevant financial year. In some years, that amount will vary from the payments received that year, as a result of the Commonwealth "bringing forward" some payments.</w:t>
      </w:r>
    </w:p>
    <w:tbl>
      <w:tblPr>
        <w:tblStyle w:val="TableNormal"/>
        <w:tblW w:type="pct" w:w="0.0"/>
        <w:tblLook w:firstRow="1"/>
      </w:tblPr>
      <w:tblGrid/>
      <w:tr>
        <w:trPr>
          <w:cnfStyle w:firstRow="1"/>
        </w:trPr>
        <w:tc>
          <w:tcPr>
            <w:tcBorders>
              <w:bottom w:val="single"/>
            </w:tcBorders>
            <w:vAlign w:val="bottom"/>
          </w:tcPr>
          <w:p>
            <w:pPr>
              <w:pStyle w:val="Compact"/>
              <w:jc w:val="left"/>
            </w:pPr>
            <w:r>
              <w:t xml:space="preserve"> </w:t>
            </w:r>
          </w:p>
        </w:tc>
        <w:tc>
          <w:tcPr>
            <w:tcBorders>
              <w:bottom w:val="single"/>
            </w:tcBorders>
            <w:vAlign w:val="bottom"/>
          </w:tcPr>
          <w:p>
            <w:pPr>
              <w:pStyle w:val="Compact"/>
              <w:jc w:val="left"/>
            </w:pPr>
            <w:r>
              <w:t xml:space="preserve">2018-19</w:t>
            </w:r>
          </w:p>
        </w:tc>
        <w:tc>
          <w:tcPr>
            <w:tcBorders>
              <w:bottom w:val="single"/>
            </w:tcBorders>
            <w:vAlign w:val="bottom"/>
          </w:tcPr>
          <w:p>
            <w:pPr>
              <w:pStyle w:val="Compact"/>
              <w:jc w:val="left"/>
            </w:pPr>
            <w:r>
              <w:t xml:space="preserve">2017-18</w:t>
            </w:r>
          </w:p>
        </w:tc>
        <w:tc>
          <w:tcPr>
            <w:tcBorders>
              <w:bottom w:val="single"/>
            </w:tcBorders>
            <w:vAlign w:val="bottom"/>
          </w:tcPr>
          <w:p>
            <w:pPr>
              <w:pStyle w:val="Compact"/>
              <w:jc w:val="left"/>
            </w:pPr>
            <w:r>
              <w:t xml:space="preserve">2016-17</w:t>
            </w:r>
          </w:p>
        </w:tc>
        <w:tc>
          <w:tcPr>
            <w:tcBorders>
              <w:bottom w:val="single"/>
            </w:tcBorders>
            <w:vAlign w:val="bottom"/>
          </w:tcPr>
          <w:p>
            <w:pPr>
              <w:pStyle w:val="Compact"/>
              <w:jc w:val="left"/>
            </w:pPr>
            <w:r>
              <w:t xml:space="preserve">2015-16</w:t>
            </w:r>
          </w:p>
        </w:tc>
        <w:tc>
          <w:tcPr>
            <w:tcBorders>
              <w:bottom w:val="single"/>
            </w:tcBorders>
            <w:vAlign w:val="bottom"/>
          </w:tcPr>
          <w:p>
            <w:pPr>
              <w:pStyle w:val="Compact"/>
              <w:jc w:val="left"/>
            </w:pPr>
            <w:r>
              <w:t xml:space="preserve">2014-15</w:t>
            </w:r>
          </w:p>
        </w:tc>
        <w:tc>
          <w:tcPr>
            <w:tcBorders>
              <w:bottom w:val="single"/>
            </w:tcBorders>
            <w:vAlign w:val="bottom"/>
          </w:tcPr>
          <w:p>
            <w:pPr>
              <w:pStyle w:val="Compact"/>
              <w:jc w:val="left"/>
            </w:pPr>
            <w:r>
              <w:t xml:space="preserve">2013-14</w:t>
            </w:r>
          </w:p>
        </w:tc>
        <w:tc>
          <w:tcPr>
            <w:tcBorders>
              <w:bottom w:val="single"/>
            </w:tcBorders>
            <w:vAlign w:val="bottom"/>
          </w:tcPr>
          <w:p>
            <w:pPr>
              <w:pStyle w:val="Compact"/>
              <w:jc w:val="left"/>
            </w:pPr>
            <w:r>
              <w:t xml:space="preserve">2012-13</w:t>
            </w:r>
          </w:p>
        </w:tc>
        <w:tc>
          <w:tcPr>
            <w:tcBorders>
              <w:bottom w:val="single"/>
            </w:tcBorders>
            <w:vAlign w:val="bottom"/>
          </w:tcPr>
          <w:p>
            <w:pPr>
              <w:pStyle w:val="Compact"/>
              <w:jc w:val="left"/>
            </w:pPr>
            <w:r>
              <w:t xml:space="preserve">2011-12</w:t>
            </w:r>
          </w:p>
        </w:tc>
        <w:tc>
          <w:tcPr>
            <w:tcBorders>
              <w:bottom w:val="single"/>
            </w:tcBorders>
            <w:vAlign w:val="bottom"/>
          </w:tcPr>
          <w:p>
            <w:pPr>
              <w:pStyle w:val="Compact"/>
              <w:jc w:val="left"/>
            </w:pPr>
            <w:r>
              <w:t xml:space="preserve">2010-11</w:t>
            </w:r>
          </w:p>
        </w:tc>
        <w:tc>
          <w:tcPr>
            <w:tcBorders>
              <w:bottom w:val="single"/>
            </w:tcBorders>
            <w:vAlign w:val="bottom"/>
          </w:tcPr>
          <w:p>
            <w:pPr>
              <w:pStyle w:val="Compact"/>
              <w:jc w:val="left"/>
            </w:pPr>
            <w:r>
              <w:t xml:space="preserve">2009-10</w:t>
            </w:r>
          </w:p>
        </w:tc>
      </w:tr>
      <w:tr>
        <w:tc>
          <w:p>
            <w:pPr>
              <w:pStyle w:val="Compact"/>
              <w:jc w:val="left"/>
            </w:pPr>
            <w:r>
              <w:t xml:space="preserve">Recurrent Expenditure ($)</w:t>
            </w:r>
          </w:p>
        </w:tc>
        <w:tc>
          <w:p>
            <w:pPr>
              <w:pStyle w:val="Compact"/>
              <w:jc w:val="left"/>
            </w:pPr>
            <w:r>
              <w:t xml:space="preserve">86.010m</w:t>
            </w:r>
            <w:r>
              <w:br w:type="textWrapping"/>
            </w:r>
          </w:p>
        </w:tc>
        <w:tc>
          <w:p>
            <w:pPr>
              <w:pStyle w:val="Compact"/>
              <w:jc w:val="left"/>
            </w:pPr>
            <w:r>
              <w:t xml:space="preserve">73.056m</w:t>
            </w:r>
            <w:r>
              <w:br w:type="textWrapping"/>
            </w:r>
          </w:p>
        </w:tc>
        <w:tc>
          <w:p>
            <w:pPr>
              <w:pStyle w:val="Compact"/>
              <w:jc w:val="left"/>
            </w:pPr>
            <w:r>
              <w:t xml:space="preserve">70.508m</w:t>
            </w:r>
            <w:r>
              <w:br w:type="textWrapping"/>
            </w:r>
          </w:p>
        </w:tc>
        <w:tc>
          <w:p>
            <w:pPr>
              <w:pStyle w:val="Compact"/>
              <w:jc w:val="left"/>
            </w:pPr>
            <w:r>
              <w:t xml:space="preserve">70.954m</w:t>
            </w:r>
            <w:r>
              <w:br w:type="textWrapping"/>
            </w:r>
          </w:p>
        </w:tc>
        <w:tc>
          <w:p>
            <w:pPr>
              <w:pStyle w:val="Compact"/>
              <w:jc w:val="left"/>
            </w:pPr>
            <w:r>
              <w:t xml:space="preserve">68.035m</w:t>
            </w:r>
            <w:r>
              <w:br w:type="textWrapping"/>
            </w:r>
          </w:p>
        </w:tc>
        <w:tc>
          <w:p>
            <w:pPr>
              <w:pStyle w:val="Compact"/>
              <w:jc w:val="left"/>
            </w:pPr>
            <w:r>
              <w:t xml:space="preserve">66.062m</w:t>
            </w:r>
            <w:r>
              <w:br w:type="textWrapping"/>
            </w:r>
          </w:p>
        </w:tc>
        <w:tc>
          <w:p>
            <w:pPr>
              <w:pStyle w:val="Compact"/>
              <w:jc w:val="left"/>
            </w:pPr>
            <w:r>
              <w:t xml:space="preserve">61.391m</w:t>
            </w:r>
          </w:p>
        </w:tc>
        <w:tc>
          <w:p>
            <w:pPr>
              <w:pStyle w:val="Compact"/>
              <w:jc w:val="left"/>
            </w:pPr>
            <w:r>
              <w:t xml:space="preserve">59.873m</w:t>
            </w:r>
          </w:p>
        </w:tc>
        <w:tc>
          <w:p>
            <w:pPr>
              <w:pStyle w:val="Compact"/>
              <w:jc w:val="left"/>
            </w:pPr>
            <w:r>
              <w:t xml:space="preserve">51.657m</w:t>
            </w:r>
          </w:p>
        </w:tc>
        <w:tc>
          <w:p>
            <w:pPr>
              <w:pStyle w:val="Compact"/>
              <w:jc w:val="left"/>
            </w:pPr>
            <w:r>
              <w:t xml:space="preserve">47.002m</w:t>
            </w:r>
          </w:p>
        </w:tc>
      </w:tr>
      <w:tr>
        <w:tc>
          <w:p>
            <w:pPr>
              <w:pStyle w:val="Compact"/>
              <w:jc w:val="left"/>
            </w:pPr>
            <w:r>
              <w:t xml:space="preserve">Recurrent Revenue ($)</w:t>
            </w:r>
          </w:p>
        </w:tc>
        <w:tc>
          <w:p>
            <w:pPr>
              <w:pStyle w:val="Compact"/>
              <w:jc w:val="left"/>
            </w:pPr>
            <w:r>
              <w:t xml:space="preserve">81.402m</w:t>
            </w:r>
            <w:r>
              <w:br w:type="textWrapping"/>
            </w:r>
          </w:p>
        </w:tc>
        <w:tc>
          <w:p>
            <w:pPr>
              <w:pStyle w:val="Compact"/>
              <w:jc w:val="left"/>
            </w:pPr>
            <w:r>
              <w:t xml:space="preserve">78.062m</w:t>
            </w:r>
            <w:r>
              <w:br w:type="textWrapping"/>
            </w:r>
          </w:p>
        </w:tc>
        <w:tc>
          <w:p>
            <w:pPr>
              <w:pStyle w:val="Compact"/>
              <w:jc w:val="left"/>
            </w:pPr>
            <w:r>
              <w:t xml:space="preserve">84.365m</w:t>
            </w:r>
            <w:r>
              <w:br w:type="textWrapping"/>
            </w:r>
          </w:p>
        </w:tc>
        <w:tc>
          <w:p>
            <w:pPr>
              <w:pStyle w:val="Compact"/>
              <w:jc w:val="left"/>
            </w:pPr>
            <w:r>
              <w:t xml:space="preserve">68.193m</w:t>
            </w:r>
            <w:r>
              <w:br w:type="textWrapping"/>
            </w:r>
          </w:p>
        </w:tc>
        <w:tc>
          <w:p>
            <w:pPr>
              <w:pStyle w:val="Compact"/>
              <w:jc w:val="left"/>
            </w:pPr>
            <w:r>
              <w:t xml:space="preserve">68.208m</w:t>
            </w:r>
            <w:r>
              <w:br w:type="textWrapping"/>
            </w:r>
          </w:p>
        </w:tc>
        <w:tc>
          <w:p>
            <w:pPr>
              <w:pStyle w:val="Compact"/>
              <w:jc w:val="left"/>
            </w:pPr>
            <w:r>
              <w:t xml:space="preserve">68.643m</w:t>
            </w:r>
            <w:r>
              <w:br w:type="textWrapping"/>
            </w:r>
          </w:p>
        </w:tc>
        <w:tc>
          <w:p>
            <w:pPr>
              <w:pStyle w:val="Compact"/>
              <w:jc w:val="left"/>
            </w:pPr>
            <w:r>
              <w:t xml:space="preserve">67.964m</w:t>
            </w:r>
          </w:p>
        </w:tc>
        <w:tc>
          <w:p>
            <w:pPr>
              <w:pStyle w:val="Compact"/>
              <w:jc w:val="left"/>
            </w:pPr>
            <w:r>
              <w:t xml:space="preserve">72.650m</w:t>
            </w:r>
          </w:p>
        </w:tc>
        <w:tc>
          <w:p>
            <w:pPr>
              <w:pStyle w:val="Compact"/>
              <w:jc w:val="left"/>
            </w:pPr>
            <w:r>
              <w:t xml:space="preserve">63.711m</w:t>
            </w:r>
          </w:p>
        </w:tc>
        <w:tc>
          <w:p>
            <w:pPr>
              <w:pStyle w:val="Compact"/>
              <w:jc w:val="left"/>
            </w:pPr>
            <w:r>
              <w:t xml:space="preserve">59.373m</w:t>
            </w:r>
          </w:p>
        </w:tc>
      </w:tr>
      <w:tr>
        <w:tc>
          <w:p>
            <w:pPr>
              <w:pStyle w:val="Compact"/>
              <w:jc w:val="left"/>
            </w:pPr>
            <w:r>
              <w:t xml:space="preserve">- Rates and Charges</w:t>
            </w:r>
          </w:p>
        </w:tc>
        <w:tc>
          <w:p>
            <w:pPr>
              <w:pStyle w:val="Compact"/>
              <w:jc w:val="left"/>
            </w:pPr>
            <w:r>
              <w:t xml:space="preserve">58.582m</w:t>
            </w:r>
            <w:r>
              <w:br w:type="textWrapping"/>
            </w:r>
          </w:p>
        </w:tc>
        <w:tc>
          <w:p>
            <w:pPr>
              <w:pStyle w:val="Compact"/>
              <w:jc w:val="left"/>
            </w:pPr>
            <w:r>
              <w:t xml:space="preserve">55.323m</w:t>
            </w:r>
            <w:r>
              <w:br w:type="textWrapping"/>
            </w:r>
          </w:p>
        </w:tc>
        <w:tc>
          <w:p>
            <w:pPr>
              <w:pStyle w:val="Compact"/>
              <w:jc w:val="left"/>
            </w:pPr>
            <w:r>
              <w:t xml:space="preserve">52.333m</w:t>
            </w:r>
            <w:r>
              <w:br w:type="textWrapping"/>
            </w:r>
          </w:p>
        </w:tc>
        <w:tc>
          <w:p>
            <w:pPr>
              <w:pStyle w:val="Compact"/>
              <w:jc w:val="left"/>
            </w:pPr>
            <w:r>
              <w:t xml:space="preserve">50.090m</w:t>
            </w:r>
            <w:r>
              <w:br w:type="textWrapping"/>
            </w:r>
          </w:p>
        </w:tc>
        <w:tc>
          <w:p>
            <w:pPr>
              <w:pStyle w:val="Compact"/>
              <w:jc w:val="left"/>
            </w:pPr>
            <w:r>
              <w:t xml:space="preserve">46.126m</w:t>
            </w:r>
            <w:r>
              <w:br w:type="textWrapping"/>
            </w:r>
          </w:p>
        </w:tc>
        <w:tc>
          <w:p>
            <w:pPr>
              <w:pStyle w:val="Compact"/>
              <w:jc w:val="left"/>
            </w:pPr>
            <w:r>
              <w:t xml:space="preserve">43.114m</w:t>
            </w:r>
            <w:r>
              <w:br w:type="textWrapping"/>
            </w:r>
          </w:p>
        </w:tc>
        <w:tc>
          <w:p>
            <w:pPr>
              <w:pStyle w:val="Compact"/>
              <w:jc w:val="left"/>
            </w:pPr>
            <w:r>
              <w:t xml:space="preserve">33.358m</w:t>
            </w:r>
          </w:p>
        </w:tc>
        <w:tc>
          <w:p>
            <w:pPr>
              <w:pStyle w:val="Compact"/>
              <w:jc w:val="left"/>
            </w:pPr>
            <w:r>
              <w:t xml:space="preserve">37.251m</w:t>
            </w:r>
          </w:p>
        </w:tc>
        <w:tc>
          <w:p>
            <w:pPr>
              <w:pStyle w:val="Compact"/>
              <w:jc w:val="left"/>
            </w:pPr>
            <w:r>
              <w:t xml:space="preserve">28.156m</w:t>
            </w:r>
          </w:p>
        </w:tc>
        <w:tc>
          <w:p>
            <w:pPr>
              <w:pStyle w:val="Compact"/>
              <w:jc w:val="left"/>
            </w:pPr>
            <w:r>
              <w:t xml:space="preserve">31.812m</w:t>
            </w:r>
          </w:p>
        </w:tc>
      </w:tr>
      <w:tr>
        <w:tc>
          <w:p>
            <w:pPr>
              <w:pStyle w:val="Compact"/>
              <w:jc w:val="left"/>
            </w:pPr>
            <w:r>
              <w:t xml:space="preserve">- VGC Grants</w:t>
            </w:r>
          </w:p>
        </w:tc>
        <w:tc>
          <w:p>
            <w:pPr>
              <w:pStyle w:val="Compact"/>
              <w:jc w:val="left"/>
            </w:pPr>
            <w:r>
              <w:t xml:space="preserve">6.060m</w:t>
            </w:r>
          </w:p>
        </w:tc>
        <w:tc>
          <w:p>
            <w:pPr>
              <w:pStyle w:val="Compact"/>
              <w:jc w:val="left"/>
            </w:pPr>
            <w:r>
              <w:t xml:space="preserve">6.037m</w:t>
            </w:r>
          </w:p>
        </w:tc>
        <w:tc>
          <w:p>
            <w:pPr>
              <w:pStyle w:val="Compact"/>
              <w:jc w:val="left"/>
            </w:pPr>
            <w:r>
              <w:t xml:space="preserve">5.608m</w:t>
            </w:r>
          </w:p>
        </w:tc>
        <w:tc>
          <w:p>
            <w:pPr>
              <w:pStyle w:val="Compact"/>
              <w:jc w:val="left"/>
            </w:pPr>
            <w:r>
              <w:t xml:space="preserve">5.495m</w:t>
            </w:r>
          </w:p>
        </w:tc>
        <w:tc>
          <w:p>
            <w:pPr>
              <w:pStyle w:val="Compact"/>
              <w:jc w:val="left"/>
            </w:pPr>
            <w:r>
              <w:t xml:space="preserve">5.544m</w:t>
            </w:r>
          </w:p>
        </w:tc>
        <w:tc>
          <w:p>
            <w:pPr>
              <w:pStyle w:val="Compact"/>
              <w:jc w:val="left"/>
            </w:pPr>
            <w:r>
              <w:t xml:space="preserve">5.544m</w:t>
            </w:r>
          </w:p>
        </w:tc>
        <w:tc>
          <w:p>
            <w:pPr>
              <w:pStyle w:val="Compact"/>
              <w:jc w:val="left"/>
            </w:pPr>
            <w:r>
              <w:t xml:space="preserve">5.481m</w:t>
            </w:r>
          </w:p>
        </w:tc>
        <w:tc>
          <w:p>
            <w:pPr>
              <w:pStyle w:val="Compact"/>
              <w:jc w:val="left"/>
            </w:pPr>
            <w:r>
              <w:t xml:space="preserve">5.517m</w:t>
            </w:r>
          </w:p>
        </w:tc>
        <w:tc>
          <w:p>
            <w:pPr>
              <w:pStyle w:val="Compact"/>
              <w:jc w:val="left"/>
            </w:pPr>
            <w:r>
              <w:t xml:space="preserve">5.106m</w:t>
            </w:r>
          </w:p>
        </w:tc>
        <w:tc>
          <w:p>
            <w:pPr>
              <w:pStyle w:val="Compact"/>
              <w:jc w:val="left"/>
            </w:pPr>
            <w:r>
              <w:t xml:space="preserve">4.596m</w:t>
            </w:r>
          </w:p>
        </w:tc>
      </w:tr>
      <w:tr>
        <w:tc>
          <w:p>
            <w:pPr>
              <w:pStyle w:val="Compact"/>
              <w:jc w:val="left"/>
            </w:pPr>
            <w:r>
              <w:t xml:space="preserve">Non-Recurrent Government Grants</w:t>
            </w:r>
            <w:r>
              <w:br w:type="textWrapping"/>
            </w:r>
          </w:p>
        </w:tc>
        <w:tc>
          <w:p>
            <w:pPr>
              <w:pStyle w:val="Compact"/>
              <w:jc w:val="left"/>
            </w:pPr>
            <w:r>
              <w:t xml:space="preserve">2.871m</w:t>
            </w:r>
            <w:r>
              <w:br w:type="textWrapping"/>
            </w:r>
          </w:p>
        </w:tc>
        <w:tc>
          <w:p>
            <w:pPr>
              <w:pStyle w:val="Compact"/>
              <w:jc w:val="left"/>
            </w:pPr>
            <w:r>
              <w:t xml:space="preserve">2.890m</w:t>
            </w:r>
            <w:r>
              <w:br w:type="textWrapping"/>
            </w:r>
          </w:p>
        </w:tc>
        <w:tc>
          <w:p>
            <w:pPr>
              <w:pStyle w:val="Compact"/>
              <w:jc w:val="left"/>
            </w:pPr>
            <w:r>
              <w:t xml:space="preserve">2.312m</w:t>
            </w:r>
            <w:r>
              <w:br w:type="textWrapping"/>
            </w:r>
          </w:p>
        </w:tc>
        <w:tc>
          <w:p>
            <w:pPr>
              <w:pStyle w:val="Compact"/>
              <w:jc w:val="left"/>
            </w:pPr>
            <w:r>
              <w:t xml:space="preserve">2.533m</w:t>
            </w:r>
            <w:r>
              <w:br w:type="textWrapping"/>
            </w:r>
          </w:p>
        </w:tc>
        <w:tc>
          <w:p>
            <w:pPr>
              <w:pStyle w:val="Compact"/>
              <w:jc w:val="left"/>
            </w:pPr>
            <w:r>
              <w:t xml:space="preserve">1.841m</w:t>
            </w:r>
            <w:r>
              <w:br w:type="textWrapping"/>
            </w:r>
          </w:p>
        </w:tc>
        <w:tc>
          <w:p>
            <w:pPr>
              <w:pStyle w:val="Compact"/>
              <w:jc w:val="left"/>
            </w:pPr>
            <w:r>
              <w:t xml:space="preserve">3.748m</w:t>
            </w:r>
            <w:r>
              <w:br w:type="textWrapping"/>
            </w:r>
          </w:p>
        </w:tc>
        <w:tc>
          <w:p>
            <w:pPr>
              <w:pStyle w:val="Compact"/>
              <w:jc w:val="left"/>
            </w:pPr>
            <w:r>
              <w:t xml:space="preserve">3.792m</w:t>
            </w:r>
            <w:r>
              <w:br w:type="textWrapping"/>
            </w:r>
          </w:p>
        </w:tc>
        <w:tc>
          <w:p>
            <w:pPr>
              <w:pStyle w:val="Compact"/>
              <w:jc w:val="left"/>
            </w:pPr>
            <w:r>
              <w:t xml:space="preserve">2.850m</w:t>
            </w:r>
            <w:r>
              <w:br w:type="textWrapping"/>
            </w:r>
          </w:p>
        </w:tc>
        <w:tc>
          <w:p>
            <w:pPr>
              <w:pStyle w:val="Compact"/>
              <w:jc w:val="left"/>
            </w:pPr>
            <w:r>
              <w:t xml:space="preserve">2.672m</w:t>
            </w:r>
            <w:r>
              <w:br w:type="textWrapping"/>
            </w:r>
          </w:p>
        </w:tc>
        <w:tc>
          <w:p>
            <w:pPr>
              <w:pStyle w:val="Compact"/>
              <w:jc w:val="left"/>
            </w:pPr>
            <w:r>
              <w:t xml:space="preserve">1.477m</w:t>
            </w:r>
            <w:r>
              <w:br w:type="textWrapping"/>
            </w:r>
          </w:p>
        </w:tc>
      </w:tr>
      <w:tr>
        <w:tc>
          <w:p>
            <w:pPr>
              <w:pStyle w:val="Compact"/>
              <w:jc w:val="left"/>
            </w:pPr>
            <w:r>
              <w:t xml:space="preserve">Recurrent Government Grants</w:t>
            </w:r>
            <w:r>
              <w:br w:type="textWrapping"/>
            </w:r>
          </w:p>
        </w:tc>
        <w:tc>
          <w:p>
            <w:pPr>
              <w:pStyle w:val="Compact"/>
              <w:jc w:val="left"/>
            </w:pPr>
            <w:r>
              <w:t xml:space="preserve">9.491m</w:t>
            </w:r>
            <w:r>
              <w:br w:type="textWrapping"/>
            </w:r>
          </w:p>
        </w:tc>
        <w:tc>
          <w:p>
            <w:pPr>
              <w:pStyle w:val="Compact"/>
              <w:jc w:val="left"/>
            </w:pPr>
            <w:r>
              <w:t xml:space="preserve">10.532m</w:t>
            </w:r>
            <w:r>
              <w:br w:type="textWrapping"/>
            </w:r>
          </w:p>
        </w:tc>
        <w:tc>
          <w:p>
            <w:pPr>
              <w:pStyle w:val="Compact"/>
              <w:jc w:val="left"/>
            </w:pPr>
            <w:r>
              <w:t xml:space="preserve">14.232m</w:t>
            </w:r>
            <w:r>
              <w:br w:type="textWrapping"/>
            </w:r>
          </w:p>
        </w:tc>
        <w:tc>
          <w:p>
            <w:pPr>
              <w:pStyle w:val="Compact"/>
              <w:jc w:val="left"/>
            </w:pPr>
            <w:r>
              <w:t xml:space="preserve">7.691m</w:t>
            </w:r>
            <w:r>
              <w:br w:type="textWrapping"/>
            </w:r>
          </w:p>
        </w:tc>
        <w:tc>
          <w:p>
            <w:pPr>
              <w:pStyle w:val="Compact"/>
              <w:jc w:val="left"/>
            </w:pPr>
            <w:r>
              <w:t xml:space="preserve">2.885m</w:t>
            </w:r>
            <w:r>
              <w:br w:type="textWrapping"/>
            </w:r>
          </w:p>
        </w:tc>
        <w:tc>
          <w:p>
            <w:pPr>
              <w:pStyle w:val="Compact"/>
              <w:jc w:val="left"/>
            </w:pPr>
            <w:r>
              <w:t xml:space="preserve">4.436m</w:t>
            </w:r>
            <w:r>
              <w:br w:type="textWrapping"/>
            </w:r>
          </w:p>
        </w:tc>
        <w:tc>
          <w:p>
            <w:pPr>
              <w:pStyle w:val="Compact"/>
              <w:jc w:val="left"/>
            </w:pPr>
            <w:r>
              <w:t xml:space="preserve">4.143m</w:t>
            </w:r>
            <w:r>
              <w:br w:type="textWrapping"/>
            </w:r>
          </w:p>
        </w:tc>
        <w:tc>
          <w:p>
            <w:pPr>
              <w:pStyle w:val="Compact"/>
              <w:jc w:val="left"/>
            </w:pPr>
            <w:r>
              <w:t xml:space="preserve">4.284m</w:t>
            </w:r>
            <w:r>
              <w:br w:type="textWrapping"/>
            </w:r>
          </w:p>
        </w:tc>
        <w:tc>
          <w:p>
            <w:pPr>
              <w:pStyle w:val="Compact"/>
              <w:jc w:val="left"/>
            </w:pPr>
            <w:r>
              <w:t xml:space="preserve">4.939m</w:t>
            </w:r>
            <w:r>
              <w:br w:type="textWrapping"/>
            </w:r>
          </w:p>
        </w:tc>
        <w:tc>
          <w:p>
            <w:pPr>
              <w:pStyle w:val="Compact"/>
              <w:jc w:val="left"/>
            </w:pPr>
            <w:r>
              <w:t xml:space="preserve">3.428m</w:t>
            </w:r>
            <w:r>
              <w:br w:type="textWrapping"/>
            </w:r>
          </w:p>
        </w:tc>
      </w:tr>
    </w:tbl>
    <w:sectPr w:rsidR="000B1BB4" w:rsidRPr="000B1BB4" w:rsidSect="00D65D8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venir Book">
    <w:panose1 w:val="02000503020000020003"/>
    <w:charset w:val="00"/>
    <w:family w:val="auto"/>
    <w:pitch w:val="variable"/>
    <w:sig w:usb0="800000AF" w:usb1="5000204A" w:usb2="00000000" w:usb3="00000000" w:csb0="0000009B" w:csb1="00000000"/>
  </w:font>
  <w:font w:name="News Gothic MT">
    <w:panose1 w:val="020B0504020203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Avenir Black">
    <w:panose1 w:val="020B0803020203020204"/>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f28b12a2"/>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14a4be81"/>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1"/>
  </w:num>
  <w:num w:numId="1002">
    <w:abstractNumId w:val="991"/>
  </w:num>
  <w:num w:numId="1003">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BB4"/>
    <w:pPr>
      <w:spacing w:before="120" w:after="120"/>
    </w:pPr>
    <w:rPr>
      <w:rFonts w:ascii="Avenir Book" w:hAnsi="Avenir Book"/>
      <w:color w:val="28384B"/>
      <w:lang w:val="en-AU"/>
    </w:rPr>
  </w:style>
  <w:style w:type="paragraph" w:styleId="Heading1">
    <w:name w:val="heading 1"/>
    <w:basedOn w:val="Normal"/>
    <w:next w:val="Normal"/>
    <w:link w:val="Heading1Char"/>
    <w:uiPriority w:val="9"/>
    <w:qFormat/>
    <w:rsid w:val="000B1BB4"/>
    <w:pPr>
      <w:keepNext/>
      <w:keepLines/>
      <w:spacing w:before="480" w:after="0"/>
      <w:outlineLvl w:val="0"/>
    </w:pPr>
    <w:rPr>
      <w:rFonts w:ascii="News Gothic MT" w:eastAsiaTheme="majorEastAsia" w:hAnsi="News Gothic MT" w:cstheme="majorBidi"/>
      <w:b/>
      <w:bCs/>
      <w:color w:val="212F3E"/>
      <w:sz w:val="32"/>
      <w:szCs w:val="32"/>
    </w:rPr>
  </w:style>
  <w:style w:type="paragraph" w:styleId="Heading2">
    <w:name w:val="heading 2"/>
    <w:basedOn w:val="Normal"/>
    <w:next w:val="Normal"/>
    <w:link w:val="Heading2Char"/>
    <w:uiPriority w:val="9"/>
    <w:unhideWhenUsed/>
    <w:qFormat/>
    <w:rsid w:val="000B1BB4"/>
    <w:pPr>
      <w:keepNext/>
      <w:keepLines/>
      <w:spacing w:before="200"/>
      <w:outlineLvl w:val="1"/>
    </w:pPr>
    <w:rPr>
      <w:rFonts w:ascii="Avenir Black" w:eastAsiaTheme="majorEastAsia" w:hAnsi="Avenir Black"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1BB4"/>
    <w:rPr>
      <w:rFonts w:ascii="News Gothic MT" w:eastAsiaTheme="majorEastAsia" w:hAnsi="News Gothic MT" w:cstheme="majorBidi"/>
      <w:b/>
      <w:bCs/>
      <w:color w:val="212F3E"/>
      <w:sz w:val="32"/>
      <w:szCs w:val="32"/>
      <w:lang w:val="en-AU"/>
    </w:rPr>
  </w:style>
  <w:style w:type="character" w:customStyle="1" w:styleId="Heading2Char">
    <w:name w:val="Heading 2 Char"/>
    <w:basedOn w:val="DefaultParagraphFont"/>
    <w:link w:val="Heading2"/>
    <w:uiPriority w:val="9"/>
    <w:rsid w:val="000B1BB4"/>
    <w:rPr>
      <w:rFonts w:ascii="Avenir Black" w:eastAsiaTheme="majorEastAsia" w:hAnsi="Avenir Black" w:cstheme="majorBidi"/>
      <w:b/>
      <w:bCs/>
      <w:color w:val="28384B"/>
      <w:sz w:val="26"/>
      <w:szCs w:val="26"/>
      <w:lang w:val="en-AU"/>
    </w:rPr>
  </w:style>
  <w:style w:type="paragraph" w:styleId="Title">
    <w:name w:val="Title"/>
    <w:basedOn w:val="Normal"/>
    <w:next w:val="Normal"/>
    <w:link w:val="TitleChar"/>
    <w:uiPriority w:val="10"/>
    <w:qFormat/>
    <w:rsid w:val="005457E9"/>
    <w:pPr>
      <w:pBdr>
        <w:bottom w:val="single" w:sz="8" w:space="4" w:color="4F81BD" w:themeColor="accent1"/>
      </w:pBdr>
      <w:spacing w:before="0" w:after="300"/>
      <w:contextualSpacing/>
    </w:pPr>
    <w:rPr>
      <w:rFonts w:eastAsiaTheme="majorEastAsia" w:cstheme="majorBidi"/>
      <w:color w:val="000000"/>
      <w:spacing w:val="5"/>
      <w:kern w:val="28"/>
      <w:sz w:val="52"/>
      <w:szCs w:val="52"/>
    </w:rPr>
  </w:style>
  <w:style w:type="character" w:customStyle="1" w:styleId="TitleChar">
    <w:name w:val="Title Char"/>
    <w:basedOn w:val="DefaultParagraphFont"/>
    <w:link w:val="Title"/>
    <w:uiPriority w:val="10"/>
    <w:rsid w:val="005457E9"/>
    <w:rPr>
      <w:rFonts w:ascii="Arial" w:eastAsiaTheme="majorEastAsia" w:hAnsi="Arial" w:cstheme="majorBidi"/>
      <w:color w:val="000000"/>
      <w:spacing w:val="5"/>
      <w:kern w:val="28"/>
      <w:sz w:val="52"/>
      <w:szCs w:val="52"/>
      <w:lang w:val="en-AU"/>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image" Id="rId25" Target="media/rId25.png" /><Relationship Type="http://schemas.openxmlformats.org/officeDocument/2006/relationships/hyperlink" Id="rId45" Target="http://knowyourcouncil.vic.gov.au/guide-to-councils/council-elections" TargetMode="External" /><Relationship Type="http://schemas.openxmlformats.org/officeDocument/2006/relationships/hyperlink" Id="rId39" Target="http://maps.land.vic.gov.au/lassi/VicnamesUI.jsp" TargetMode="External" /><Relationship Type="http://schemas.openxmlformats.org/officeDocument/2006/relationships/hyperlink" Id="rId30" Target="http://www.basscoast.vic.gov.au" TargetMode="External" /><Relationship Type="http://schemas.openxmlformats.org/officeDocument/2006/relationships/hyperlink" Id="rId31" Target="http://www.basscoast.vic.gov.au/Community/Community-Services" TargetMode="External" /><Relationship Type="http://schemas.openxmlformats.org/officeDocument/2006/relationships/hyperlink" Id="rId43" Target="http://www.basscoast.vic.gov.au/about-council/annual-reports" TargetMode="External" /><Relationship Type="http://schemas.openxmlformats.org/officeDocument/2006/relationships/hyperlink" Id="rId41" Target="http://www.basscoast.vic.gov.au/about-council/community-satisfaction-survey" TargetMode="External" /><Relationship Type="http://schemas.openxmlformats.org/officeDocument/2006/relationships/hyperlink" Id="rId46" Target="http://www.localgovernment.vic.gov.au/council-governance/candidate-training" TargetMode="External" /><Relationship Type="http://schemas.openxmlformats.org/officeDocument/2006/relationships/hyperlink" Id="rId37" Target="http://www.maggolee.org.au/wp-content/uploads/2015/09/LGA-Profile-Final-Bass-Coast.pdf" TargetMode="External" /><Relationship Type="http://schemas.openxmlformats.org/officeDocument/2006/relationships/hyperlink" Id="rId35" Target="http://www.planning.vic.gov.au/__data/assets/pdf_file/0014/11444/Bass_Coast_VIF_2016_One_Page_Profile_Output.pdf" TargetMode="External" /><Relationship Type="http://schemas.openxmlformats.org/officeDocument/2006/relationships/hyperlink" Id="rId47" Target="http://www.vec.vic.gov.au/" TargetMode="External" /><Relationship Type="http://schemas.openxmlformats.org/officeDocument/2006/relationships/hyperlink" Id="rId33" Target="https://knowyourcouncil.vic.gov.au/__data/assets/pdf_file/0009/29439/DOC-15-313642-Victorian-Local-Government-Comparator-Groups-2015-FINAL.pdf" TargetMode="External" /><Relationship Type="http://schemas.openxmlformats.org/officeDocument/2006/relationships/hyperlink" Id="rId26" Target="https://knowyourcouncil.vic.gov.au/councils/bass-coast" TargetMode="External" /><Relationship Type="http://schemas.openxmlformats.org/officeDocument/2006/relationships/hyperlink" Id="rId29" Target="mailto:basscoast@basscoast.vic.gov.au" TargetMode="External" /></Relationships>
</file>

<file path=word/_rels/footnotes.xml.rels><?xml version="1.0" encoding="UTF-8"?>
<Relationships xmlns="http://schemas.openxmlformats.org/package/2006/relationships"><Relationship Type="http://schemas.openxmlformats.org/officeDocument/2006/relationships/hyperlink" Id="rId45" Target="http://knowyourcouncil.vic.gov.au/guide-to-councils/council-elections" TargetMode="External" /><Relationship Type="http://schemas.openxmlformats.org/officeDocument/2006/relationships/hyperlink" Id="rId39" Target="http://maps.land.vic.gov.au/lassi/VicnamesUI.jsp" TargetMode="External" /><Relationship Type="http://schemas.openxmlformats.org/officeDocument/2006/relationships/hyperlink" Id="rId30" Target="http://www.basscoast.vic.gov.au" TargetMode="External" /><Relationship Type="http://schemas.openxmlformats.org/officeDocument/2006/relationships/hyperlink" Id="rId31" Target="http://www.basscoast.vic.gov.au/Community/Community-Services" TargetMode="External" /><Relationship Type="http://schemas.openxmlformats.org/officeDocument/2006/relationships/hyperlink" Id="rId43" Target="http://www.basscoast.vic.gov.au/about-council/annual-reports" TargetMode="External" /><Relationship Type="http://schemas.openxmlformats.org/officeDocument/2006/relationships/hyperlink" Id="rId41" Target="http://www.basscoast.vic.gov.au/about-council/community-satisfaction-survey" TargetMode="External" /><Relationship Type="http://schemas.openxmlformats.org/officeDocument/2006/relationships/hyperlink" Id="rId46" Target="http://www.localgovernment.vic.gov.au/council-governance/candidate-training" TargetMode="External" /><Relationship Type="http://schemas.openxmlformats.org/officeDocument/2006/relationships/hyperlink" Id="rId37" Target="http://www.maggolee.org.au/wp-content/uploads/2015/09/LGA-Profile-Final-Bass-Coast.pdf" TargetMode="External" /><Relationship Type="http://schemas.openxmlformats.org/officeDocument/2006/relationships/hyperlink" Id="rId35" Target="http://www.planning.vic.gov.au/__data/assets/pdf_file/0014/11444/Bass_Coast_VIF_2016_One_Page_Profile_Output.pdf" TargetMode="External" /><Relationship Type="http://schemas.openxmlformats.org/officeDocument/2006/relationships/hyperlink" Id="rId47" Target="http://www.vec.vic.gov.au/" TargetMode="External" /><Relationship Type="http://schemas.openxmlformats.org/officeDocument/2006/relationships/hyperlink" Id="rId33" Target="https://knowyourcouncil.vic.gov.au/__data/assets/pdf_file/0009/29439/DOC-15-313642-Victorian-Local-Government-Comparator-Groups-2015-FINAL.pdf" TargetMode="External" /><Relationship Type="http://schemas.openxmlformats.org/officeDocument/2006/relationships/hyperlink" Id="rId26" Target="https://knowyourcouncil.vic.gov.au/councils/bass-coast" TargetMode="External" /><Relationship Type="http://schemas.openxmlformats.org/officeDocument/2006/relationships/hyperlink" Id="rId29" Target="mailto:basscoast@basscoast.vic.gov.au"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Macintosh Word</Application>
  <DocSecurity>0</DocSecurity>
  <Lines>0</Lines>
  <Paragraphs>0</Paragraphs>
  <ScaleCrop>false</ScaleCrop>
  <Company>Ladoo</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coreProperties>
</file>