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5.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495800" cy="673100"/>
            <wp:effectExtent b="0" l="0" r="0" t="0"/>
            <wp:docPr descr="" id="1" name="Picture"/>
            <a:graphic>
              <a:graphicData uri="http://schemas.openxmlformats.org/drawingml/2006/picture">
                <pic:pic>
                  <pic:nvPicPr>
                    <pic:cNvPr descr="https://knowyourcouncil.vic.gov.au/__data/assets/image/0007/18898/logo-big.png" id="0" name="Picture"/>
                    <pic:cNvPicPr>
                      <a:picLocks noChangeArrowheads="1" noChangeAspect="1"/>
                    </pic:cNvPicPr>
                  </pic:nvPicPr>
                  <pic:blipFill>
                    <a:blip r:embed="rId25"/>
                    <a:stretch>
                      <a:fillRect/>
                    </a:stretch>
                  </pic:blipFill>
                  <pic:spPr bwMode="auto">
                    <a:xfrm>
                      <a:off x="0" y="0"/>
                      <a:ext cx="4495800" cy="673100"/>
                    </a:xfrm>
                    <a:prstGeom prst="rect">
                      <a:avLst/>
                    </a:prstGeom>
                    <a:noFill/>
                    <a:ln w="9525">
                      <a:noFill/>
                      <a:headEnd/>
                      <a:tailEnd/>
                    </a:ln>
                  </pic:spPr>
                </pic:pic>
              </a:graphicData>
            </a:graphic>
          </wp:inline>
        </w:drawing>
      </w:r>
      <w:r>
        <w:t xml:space="preserve"> </w:t>
      </w:r>
      <w:hyperlink r:id="rId26">
        <w:r>
          <w:rPr>
            <w:rStyle w:val="Hyperlink"/>
          </w:rPr>
          <w:t xml:space="preserve">https://knowyourcouncil.vic.gov.au/councils/baw-baw</w:t>
        </w:r>
      </w:hyperlink>
    </w:p>
    <w:p>
      <w:pPr>
        <w:pStyle w:val="Heading1"/>
      </w:pPr>
      <w:bookmarkStart w:id="27" w:name="baw-baw-shire"/>
      <w:bookmarkEnd w:id="27"/>
      <w:r>
        <w:t xml:space="preserve">Baw Baw Shire</w:t>
      </w:r>
    </w:p>
    <w:p>
      <w:pPr>
        <w:pStyle w:val="Heading2"/>
      </w:pPr>
      <w:bookmarkStart w:id="28" w:name="contact-information"/>
      <w:bookmarkEnd w:id="28"/>
      <w:r>
        <w:t xml:space="preserve">Contact Information</w:t>
      </w:r>
    </w:p>
    <w:p>
      <w:pPr>
        <w:pStyle w:val="Compact"/>
        <w:numPr>
          <w:numId w:val="1001"/>
          <w:ilvl w:val="0"/>
        </w:numPr>
      </w:pPr>
      <w:r>
        <w:t xml:space="preserve">Address:</w:t>
      </w:r>
      <w:r>
        <w:t xml:space="preserve"> </w:t>
      </w:r>
      <w:r>
        <w:t xml:space="preserve">Civic Place, WARRAGUL 3820</w:t>
      </w:r>
    </w:p>
    <w:p>
      <w:pPr>
        <w:pStyle w:val="Compact"/>
        <w:numPr>
          <w:numId w:val="1001"/>
          <w:ilvl w:val="0"/>
        </w:numPr>
      </w:pPr>
      <w:r>
        <w:t xml:space="preserve">Postal:</w:t>
      </w:r>
      <w:r>
        <w:t xml:space="preserve"> </w:t>
      </w:r>
      <w:r>
        <w:t xml:space="preserve">PO Box 304, WARRAGUL 3820</w:t>
      </w:r>
    </w:p>
    <w:p>
      <w:pPr>
        <w:pStyle w:val="Compact"/>
        <w:numPr>
          <w:numId w:val="1001"/>
          <w:ilvl w:val="0"/>
        </w:numPr>
      </w:pPr>
      <w:r>
        <w:t xml:space="preserve">Phone:</w:t>
      </w:r>
      <w:r>
        <w:t xml:space="preserve"> </w:t>
      </w:r>
      <w:r>
        <w:t xml:space="preserve">03 5624 2411</w:t>
      </w:r>
    </w:p>
    <w:p>
      <w:pPr>
        <w:pStyle w:val="Compact"/>
        <w:numPr>
          <w:numId w:val="1001"/>
          <w:ilvl w:val="0"/>
        </w:numPr>
      </w:pPr>
      <w:r>
        <w:t xml:space="preserve">Fax:</w:t>
      </w:r>
      <w:r>
        <w:t xml:space="preserve"> </w:t>
      </w:r>
      <w:r>
        <w:t xml:space="preserve">03 5622 3654</w:t>
      </w:r>
    </w:p>
    <w:p>
      <w:pPr>
        <w:pStyle w:val="Compact"/>
        <w:numPr>
          <w:numId w:val="1001"/>
          <w:ilvl w:val="0"/>
        </w:numPr>
      </w:pPr>
      <w:r>
        <w:t xml:space="preserve">Contact:</w:t>
      </w:r>
      <w:r>
        <w:t xml:space="preserve"> </w:t>
      </w:r>
      <w:r>
        <w:t xml:space="preserve"> </w:t>
      </w:r>
      <w:hyperlink r:id="rId29">
        <w:r>
          <w:rPr>
            <w:rStyle w:val="Hyperlink"/>
          </w:rPr>
          <w:t xml:space="preserve">bawbaw@bawbawshire.vic.gov.au</w:t>
        </w:r>
      </w:hyperlink>
      <w:r>
        <w:t xml:space="preserve"> </w:t>
      </w:r>
    </w:p>
    <w:p>
      <w:pPr>
        <w:pStyle w:val="Compact"/>
        <w:numPr>
          <w:numId w:val="1001"/>
          <w:ilvl w:val="0"/>
        </w:numPr>
      </w:pPr>
      <w:r>
        <w:t xml:space="preserve">Web:</w:t>
      </w:r>
      <w:r>
        <w:t xml:space="preserve"> </w:t>
      </w:r>
      <w:hyperlink r:id="rId30">
        <w:r>
          <w:rPr>
            <w:rStyle w:val="Hyperlink"/>
          </w:rPr>
          <w:t xml:space="preserve">http://www.bawbawshire.vic.gov.au</w:t>
        </w:r>
      </w:hyperlink>
    </w:p>
    <w:p>
      <w:pPr>
        <w:pStyle w:val="Compact"/>
        <w:numPr>
          <w:numId w:val="1001"/>
          <w:ilvl w:val="0"/>
        </w:numPr>
      </w:pPr>
      <w:r>
        <w:t xml:space="preserve">Mayor:</w:t>
      </w:r>
      <w:r>
        <w:t xml:space="preserve"> </w:t>
      </w:r>
      <w:r>
        <w:t xml:space="preserve">Cr Danny Goss</w:t>
      </w:r>
    </w:p>
    <w:p>
      <w:pPr>
        <w:pStyle w:val="Compact"/>
        <w:numPr>
          <w:numId w:val="1001"/>
          <w:ilvl w:val="0"/>
        </w:numPr>
      </w:pPr>
      <w:r>
        <w:t xml:space="preserve">CEO:</w:t>
      </w:r>
      <w:r>
        <w:t xml:space="preserve"> </w:t>
      </w:r>
      <w:r>
        <w:t xml:space="preserve">Mr Mark Dupe</w:t>
      </w:r>
    </w:p>
    <w:p>
      <w:pPr>
        <w:pStyle w:val="Compact"/>
        <w:numPr>
          <w:numId w:val="1001"/>
          <w:ilvl w:val="0"/>
        </w:numPr>
      </w:pPr>
      <w:r>
        <w:t xml:space="preserve">Service Seeker:</w:t>
      </w:r>
      <w:r>
        <w:t xml:space="preserve"> </w:t>
      </w:r>
      <w:hyperlink r:id="rId31">
        <w:r>
          <w:rPr>
            <w:rStyle w:val="Hyperlink"/>
          </w:rPr>
          <w:t xml:space="preserve">http://www.bawbawshire.vic.gov.au/Our-Community</w:t>
        </w:r>
      </w:hyperlink>
    </w:p>
    <w:p>
      <w:pPr>
        <w:pStyle w:val="Heading2"/>
      </w:pPr>
      <w:bookmarkStart w:id="32" w:name="profile"/>
      <w:bookmarkEnd w:id="32"/>
      <w:r>
        <w:t xml:space="preserve">Profile</w:t>
      </w:r>
    </w:p>
    <w:p>
      <w:pPr>
        <w:pStyle w:val="FirstParagraph"/>
      </w:pPr>
      <w:r>
        <w:t xml:space="preserve">Baw Baw Shire is a predominantly rural-based municipality, which includes rich horticultural, dairying and forestry areas.</w:t>
      </w:r>
    </w:p>
    <w:p>
      <w:pPr>
        <w:pStyle w:val="BodyText"/>
      </w:pPr>
      <w:r>
        <w:t xml:space="preserve">It is also a major exurban growth area for the south-eastern suburbs of Melbourne, the focus of which is on Drouin and Warragul.</w:t>
      </w:r>
    </w:p>
    <w:p>
      <w:pPr>
        <w:pStyle w:val="BodyText"/>
      </w:pPr>
      <w:r>
        <w:t xml:space="preserve">Primary industry is a major employer and industry sector within Baw Baw and includes dairy and beef cattle, pome fruits (apples), vegetables, potatoes, cool climate grapes, maize, soft fruits (berries and currants), fresh flowers, seedlings and plants, hydroponic tomatoes and timber.</w:t>
      </w:r>
    </w:p>
    <w:p>
      <w:pPr>
        <w:pStyle w:val="BodyText"/>
      </w:pPr>
      <w:r>
        <w:t xml:space="preserve">There is also a significant and growing value-adding sector taking advantage of the primary produce grown in the area. Organic production is also increasing significantly. </w:t>
      </w:r>
    </w:p>
    <w:p>
      <w:pPr>
        <w:pStyle w:val="BodyText"/>
      </w:pPr>
      <w:r>
        <w:t xml:space="preserve">Baw Baw is part of the Large Shire council grouping and can be compared with similar councils. More information on council groupings can be found</w:t>
      </w:r>
      <w:r>
        <w:t xml:space="preserve"> </w:t>
      </w:r>
      <w:hyperlink r:id="rId33">
        <w:r>
          <w:rPr>
            <w:rStyle w:val="Hyperlink"/>
          </w:rPr>
          <w:t xml:space="preserve">here</w:t>
        </w:r>
      </w:hyperlink>
      <w:r>
        <w:t xml:space="preserve">.</w:t>
      </w:r>
    </w:p>
    <w:p>
      <w:pPr>
        <w:pStyle w:val="Heading3"/>
      </w:pPr>
      <w:bookmarkStart w:id="34" w:name="victoria-in-future-profile"/>
      <w:bookmarkEnd w:id="34"/>
      <w:r>
        <w:t xml:space="preserve">Victoria in Future Profile</w:t>
      </w:r>
    </w:p>
    <w:p>
      <w:pPr>
        <w:pStyle w:val="FirstParagraph"/>
      </w:pPr>
      <w:hyperlink r:id="rId35">
        <w:r>
          <w:rPr>
            <w:rStyle w:val="Hyperlink"/>
          </w:rPr>
          <w:t xml:space="preserve">Baw Baw - Victoria in Future 2016</w:t>
        </w:r>
      </w:hyperlink>
    </w:p>
    <w:p>
      <w:pPr>
        <w:pStyle w:val="Heading3"/>
      </w:pPr>
      <w:bookmarkStart w:id="36" w:name="aboriginal-community-profile"/>
      <w:bookmarkEnd w:id="36"/>
      <w:r>
        <w:t xml:space="preserve">Aboriginal Community Profile</w:t>
      </w:r>
    </w:p>
    <w:p>
      <w:pPr>
        <w:pStyle w:val="FirstParagraph"/>
      </w:pPr>
      <w:hyperlink r:id="rId37">
        <w:r>
          <w:rPr>
            <w:rStyle w:val="Hyperlink"/>
          </w:rPr>
          <w:t xml:space="preserve">Baw Baw Aboriginal Community Profile (includes Aboriginal organisations)</w:t>
        </w:r>
      </w:hyperlink>
    </w:p>
    <w:p>
      <w:pPr>
        <w:pStyle w:val="Heading2"/>
      </w:pPr>
      <w:bookmarkStart w:id="38" w:name="localities"/>
      <w:bookmarkEnd w:id="38"/>
      <w:r>
        <w:t xml:space="preserve">Localities</w:t>
      </w:r>
    </w:p>
    <w:p>
      <w:pPr>
        <w:pStyle w:val="FirstParagraph"/>
      </w:pPr>
      <w:r>
        <w:t xml:space="preserve">Aberfeldy, Ada, Allambee, Allambee Reserve, Allambee South, Amor, Athlone, Baw Baw, Baw Baw Village, Bona Vista, Boola, Brandy Creek, Bravington, Buln Buln, Buln Buln East, Caringal, Childers, Cloverlea, Coalville, Coopers Creek, Crossover, Darnum, Delburn, Driffield, Drouin, Drouin East, Drouin South, Drouin West, Ellinbank, Erica, Ferndale, Fumina, Fumina South, Gainsborough, Gentle Annie, Glengarry North, Hallora, Hallston, Heath Hill, Hernes Oak, Hill End, Icy Creek, Jacob Creek, Jericho, Jindivick, Labertouche, Lardner, Lillico, Loch Valley, Longwarry, Longwarry North, Mirboo South, Modella, Moe, Moe South, Moondarra, Mountain View, Narracan, Nayook, Neerim, Neerim East, Neerim Junction, Neerim North, Neerim South, Nilma, Noojee, Nyora, Piedmont, Poowong East, Poowong North, Rawson, Ripplebrook, Rokeby, Seaview, Shady Creek, Strzelecki, Tanjil, Tanjil Bren, Tanjil South, Tetoora Road, Thaloo, Thomson, Thorpdale, Thorpdale South, Toombon, Toongabbie, Toorongo, Trafalgar, Trafalgar East, Trafalgar South, Trida, Vesper, Walhalla, Warragul, Warragul South, Warragul West, Westbury, Willow Grove, Yallourn North, Yarragon and Yarragon South.</w:t>
      </w:r>
    </w:p>
    <w:p>
      <w:pPr>
        <w:pStyle w:val="BodyText"/>
      </w:pPr>
      <w:r>
        <w:t xml:space="preserve">For a detailed map showing shire boundaries and locality names, visit</w:t>
      </w:r>
      <w:r>
        <w:t xml:space="preserve"> </w:t>
      </w:r>
      <w:hyperlink r:id="rId39">
        <w:r>
          <w:rPr>
            <w:rStyle w:val="Hyperlink"/>
          </w:rPr>
          <w:t xml:space="preserve">VICNAMES</w:t>
        </w:r>
      </w:hyperlink>
      <w:r>
        <w:t xml:space="preserve">.</w:t>
      </w:r>
    </w:p>
    <w:p>
      <w:pPr>
        <w:pStyle w:val="Heading2"/>
      </w:pPr>
      <w:bookmarkStart w:id="40" w:name="community-satisfaction"/>
      <w:bookmarkEnd w:id="40"/>
      <w:r>
        <w:t xml:space="preserve">Community Satisfaction</w:t>
      </w:r>
    </w:p>
    <w:p>
      <w:pPr>
        <w:pStyle w:val="FirstParagraph"/>
      </w:pPr>
      <w:hyperlink r:id="rId41">
        <w:r>
          <w:rPr>
            <w:rStyle w:val="Hyperlink"/>
          </w:rPr>
          <w:t xml:space="preserve">Baw Baw Shire Council Local Government Community Satisfaction Survey Results</w:t>
        </w:r>
      </w:hyperlink>
    </w:p>
    <w:p>
      <w:pPr>
        <w:pStyle w:val="Heading2"/>
      </w:pPr>
      <w:bookmarkStart w:id="42" w:name="annual-report"/>
      <w:bookmarkEnd w:id="42"/>
      <w:r>
        <w:t xml:space="preserve">Annual Report</w:t>
      </w:r>
    </w:p>
    <w:p>
      <w:pPr>
        <w:pStyle w:val="FirstParagraph"/>
      </w:pPr>
      <w:hyperlink r:id="rId41"/>
      <w:hyperlink r:id="rId43">
        <w:r>
          <w:rPr>
            <w:rStyle w:val="Hyperlink"/>
          </w:rPr>
          <w:t xml:space="preserve">Baw Baw Shire Council Annual Report 2019/20</w:t>
        </w:r>
      </w:hyperlink>
    </w:p>
    <w:p>
      <w:pPr>
        <w:pStyle w:val="Heading2"/>
      </w:pPr>
      <w:bookmarkStart w:id="44" w:name="elections"/>
      <w:bookmarkEnd w:id="44"/>
      <w:r>
        <w:t xml:space="preserve">Elections</w:t>
      </w:r>
    </w:p>
    <w:p>
      <w:pPr>
        <w:pStyle w:val="FirstParagraph"/>
      </w:pPr>
      <w:r>
        <w:t xml:space="preserve">For further information regarding Local Government elections visit:</w:t>
      </w:r>
    </w:p>
    <w:p>
      <w:pPr>
        <w:pStyle w:val="BodyText"/>
      </w:pPr>
      <w:hyperlink r:id="rId45"/>
    </w:p>
    <w:p>
      <w:pPr>
        <w:pStyle w:val="Compact"/>
        <w:numPr>
          <w:numId w:val="1002"/>
          <w:ilvl w:val="0"/>
        </w:numPr>
      </w:pPr>
      <w:hyperlink r:id="rId46">
        <w:r>
          <w:rPr>
            <w:rStyle w:val="Hyperlink"/>
          </w:rPr>
          <w:t xml:space="preserve">Local Government Victoria</w:t>
        </w:r>
      </w:hyperlink>
    </w:p>
    <w:p>
      <w:pPr>
        <w:pStyle w:val="Compact"/>
        <w:numPr>
          <w:numId w:val="1002"/>
          <w:ilvl w:val="0"/>
        </w:numPr>
      </w:pPr>
      <w:hyperlink r:id="rId47">
        <w:r>
          <w:rPr>
            <w:rStyle w:val="Hyperlink"/>
          </w:rPr>
          <w:t xml:space="preserve">Victorian Electoral Commission</w:t>
        </w:r>
      </w:hyperlink>
      <w:r>
        <w:t xml:space="preserve"> </w:t>
      </w:r>
    </w:p>
    <w:p>
      <w:pPr>
        <w:pStyle w:val="Heading2"/>
      </w:pPr>
      <w:bookmarkStart w:id="48" w:name="councillors"/>
      <w:bookmarkEnd w:id="48"/>
      <w:r>
        <w:t xml:space="preserve">Councillors</w:t>
      </w:r>
    </w:p>
    <w:p>
      <w:pPr>
        <w:pStyle w:val="FirstParagraph"/>
      </w:pPr>
      <w:r>
        <w:t xml:space="preserve">9 Councillors elected in October 2020.</w:t>
      </w:r>
    </w:p>
    <w:p>
      <w:pPr>
        <w:pStyle w:val="Compact"/>
      </w:pPr>
      <w:r>
        <w:br w:type="textWrapping"/>
      </w:r>
    </w:p>
    <w:p>
      <w:pPr>
        <w:pStyle w:val="BodyText"/>
      </w:pPr>
      <w:r>
        <w:t xml:space="preserve">Central - Cr Joe Gauci </w:t>
      </w:r>
    </w:p>
    <w:p>
      <w:pPr>
        <w:pStyle w:val="BodyText"/>
      </w:pPr>
      <w:r>
        <w:t xml:space="preserve">Central - Cr Jazmin Tauru</w:t>
      </w:r>
    </w:p>
    <w:p>
      <w:pPr>
        <w:pStyle w:val="BodyText"/>
      </w:pPr>
      <w:r>
        <w:t xml:space="preserve">Central - Cr Danny Goss - Mayor</w:t>
      </w:r>
    </w:p>
    <w:p>
      <w:pPr>
        <w:pStyle w:val="BodyText"/>
      </w:pPr>
      <w:r>
        <w:t xml:space="preserve">East - Cr Peter Kostos </w:t>
      </w:r>
    </w:p>
    <w:p>
      <w:pPr>
        <w:pStyle w:val="BodyText"/>
      </w:pPr>
      <w:r>
        <w:t xml:space="preserve">East - Cr Michael Leaney - Deputy Mayor</w:t>
      </w:r>
    </w:p>
    <w:p>
      <w:pPr>
        <w:pStyle w:val="BodyText"/>
      </w:pPr>
      <w:r>
        <w:t xml:space="preserve">East - Cr Darren Wallace</w:t>
      </w:r>
    </w:p>
    <w:p>
      <w:pPr>
        <w:pStyle w:val="BodyText"/>
      </w:pPr>
      <w:r>
        <w:t xml:space="preserve">West - Cr Tricia Jones</w:t>
      </w:r>
    </w:p>
    <w:p>
      <w:pPr>
        <w:pStyle w:val="BodyText"/>
      </w:pPr>
      <w:r>
        <w:t xml:space="preserve">West - Cr Ben Lucas</w:t>
      </w:r>
    </w:p>
    <w:p>
      <w:pPr>
        <w:pStyle w:val="BodyText"/>
      </w:pPr>
      <w:r>
        <w:t xml:space="preserve">West - Cr Annemarie McCabe</w:t>
      </w:r>
    </w:p>
    <w:p>
      <w:pPr>
        <w:pStyle w:val="Heading2"/>
      </w:pPr>
      <w:bookmarkStart w:id="49" w:name="population-data"/>
      <w:bookmarkEnd w:id="49"/>
      <w:r>
        <w:t xml:space="preserve">Population data</w:t>
      </w:r>
    </w:p>
    <w:p>
      <w:pPr>
        <w:pStyle w:val="FirstParagraph"/>
      </w:pPr>
      <w:r>
        <w:t xml:space="preserve">Estimated resident population. Source: Victoria in Future 2016 - Population and Household Projections to 2031</w:t>
      </w:r>
    </w:p>
    <w:p>
      <w:pPr>
        <w:pStyle w:val="Compact"/>
        <w:numPr>
          <w:numId w:val="1003"/>
          <w:ilvl w:val="0"/>
        </w:numPr>
      </w:pPr>
      <w:r>
        <w:rPr>
          <w:b/>
        </w:rPr>
        <w:t xml:space="preserve">2016 </w:t>
      </w:r>
      <w:r>
        <w:t xml:space="preserve">47,548   </w:t>
      </w:r>
    </w:p>
    <w:p>
      <w:pPr>
        <w:pStyle w:val="Compact"/>
        <w:numPr>
          <w:numId w:val="1003"/>
          <w:ilvl w:val="0"/>
        </w:numPr>
      </w:pPr>
      <w:r>
        <w:rPr>
          <w:b/>
        </w:rPr>
        <w:t xml:space="preserve">2021 </w:t>
      </w:r>
      <w:r>
        <w:t xml:space="preserve">54,318  </w:t>
      </w:r>
    </w:p>
    <w:p>
      <w:pPr>
        <w:pStyle w:val="Compact"/>
        <w:numPr>
          <w:numId w:val="1003"/>
          <w:ilvl w:val="0"/>
        </w:numPr>
      </w:pPr>
      <w:r>
        <w:rPr>
          <w:b/>
        </w:rPr>
        <w:t xml:space="preserve">2026 </w:t>
      </w:r>
      <w:r>
        <w:t xml:space="preserve">61,296   </w:t>
      </w:r>
    </w:p>
    <w:p>
      <w:pPr>
        <w:pStyle w:val="Compact"/>
        <w:numPr>
          <w:numId w:val="1003"/>
          <w:ilvl w:val="0"/>
        </w:numPr>
      </w:pPr>
      <w:r>
        <w:rPr>
          <w:b/>
        </w:rPr>
        <w:t xml:space="preserve">2031 </w:t>
      </w:r>
      <w:r>
        <w:t xml:space="preserve">67,743   </w:t>
      </w:r>
    </w:p>
    <w:p>
      <w:pPr>
        <w:pStyle w:val="Heading2"/>
      </w:pPr>
      <w:bookmarkStart w:id="50" w:name="finances"/>
      <w:bookmarkEnd w:id="50"/>
      <w:r>
        <w:t xml:space="preserve">Finances</w:t>
      </w:r>
    </w:p>
    <w:p>
      <w:pPr>
        <w:pStyle w:val="FirstParagraph"/>
      </w:pPr>
      <w:r>
        <w:t xml:space="preserve">Source: Victoria Grants Commission.</w:t>
      </w:r>
      <w:r>
        <w:br w:type="textWrapping"/>
      </w:r>
      <w:r>
        <w:t xml:space="preserve">The figures in the bottom two rows of the table show combined one-off and ongoing funding received by council from both the Federal and State Governments. It is important to note that this amount can change significantly from year to year as individual government funding programs change and natural events such as fires and floods occur.</w:t>
      </w:r>
    </w:p>
    <w:p>
      <w:pPr>
        <w:pStyle w:val="BodyText"/>
      </w:pPr>
      <w:r>
        <w:t xml:space="preserve">Data shows the amount allocated in respect of the relevant financial year. In some years, that amount will vary from the payments received that year, as a result of the Commonwealth "bringing forward" some payments.</w:t>
      </w:r>
    </w:p>
    <w:p>
      <w:pPr>
        <w:pStyle w:val="Compact"/>
      </w:pPr>
      <w:r>
        <w:t xml:space="preserve"> </w:t>
      </w:r>
    </w:p>
    <w:p>
      <w:pPr>
        <w:pStyle w:val="Compact"/>
      </w:pPr>
      <w:r>
        <w:t xml:space="preserve">2018-19</w:t>
      </w:r>
    </w:p>
    <w:p>
      <w:pPr>
        <w:pStyle w:val="Compact"/>
      </w:pPr>
      <w:r>
        <w:t xml:space="preserve">2017-18</w:t>
      </w:r>
    </w:p>
    <w:p>
      <w:pPr>
        <w:pStyle w:val="Compact"/>
      </w:pPr>
      <w:r>
        <w:t xml:space="preserve">2016-17</w:t>
      </w:r>
    </w:p>
    <w:p>
      <w:pPr>
        <w:pStyle w:val="Compact"/>
      </w:pPr>
      <w:r>
        <w:t xml:space="preserve">2015-16</w:t>
      </w:r>
    </w:p>
    <w:p>
      <w:pPr>
        <w:pStyle w:val="Compact"/>
      </w:pPr>
      <w:r>
        <w:t xml:space="preserve">2014-15</w:t>
      </w:r>
    </w:p>
    <w:p>
      <w:pPr>
        <w:pStyle w:val="Compact"/>
      </w:pPr>
      <w:r>
        <w:t xml:space="preserve">2013-14</w:t>
      </w:r>
    </w:p>
    <w:p>
      <w:pPr>
        <w:pStyle w:val="Compact"/>
      </w:pPr>
      <w:r>
        <w:t xml:space="preserve">2012-13</w:t>
      </w:r>
    </w:p>
    <w:p>
      <w:pPr>
        <w:pStyle w:val="Compact"/>
      </w:pPr>
      <w:r>
        <w:t xml:space="preserve">2011-12</w:t>
      </w:r>
    </w:p>
    <w:p>
      <w:pPr>
        <w:pStyle w:val="Compact"/>
      </w:pPr>
      <w:r>
        <w:t xml:space="preserve">2010-11</w:t>
      </w:r>
    </w:p>
    <w:p>
      <w:pPr>
        <w:pStyle w:val="Compact"/>
      </w:pPr>
      <w:r>
        <w:t xml:space="preserve">2009-10</w:t>
      </w:r>
    </w:p>
    <w:p>
      <w:pPr>
        <w:pStyle w:val="Compact"/>
      </w:pPr>
      <w:r>
        <w:t xml:space="preserve">Recurrent Expenditure ($)</w:t>
      </w:r>
    </w:p>
    <w:p>
      <w:pPr>
        <w:pStyle w:val="Compact"/>
      </w:pPr>
      <w:r>
        <w:t xml:space="preserve">82.255m</w:t>
      </w:r>
    </w:p>
    <w:p>
      <w:pPr>
        <w:pStyle w:val="Compact"/>
      </w:pPr>
      <w:r>
        <w:t xml:space="preserve">73.076m</w:t>
      </w:r>
    </w:p>
    <w:p>
      <w:pPr>
        <w:pStyle w:val="Compact"/>
      </w:pPr>
      <w:r>
        <w:t xml:space="preserve">70.524m</w:t>
      </w:r>
    </w:p>
    <w:p>
      <w:pPr>
        <w:pStyle w:val="Compact"/>
      </w:pPr>
      <w:r>
        <w:t xml:space="preserve">67.559m</w:t>
      </w:r>
    </w:p>
    <w:p>
      <w:pPr>
        <w:pStyle w:val="Compact"/>
      </w:pPr>
      <w:r>
        <w:t xml:space="preserve">64.390m</w:t>
      </w:r>
    </w:p>
    <w:p>
      <w:pPr>
        <w:pStyle w:val="Compact"/>
      </w:pPr>
      <w:r>
        <w:t xml:space="preserve">63.858m</w:t>
      </w:r>
    </w:p>
    <w:p>
      <w:pPr>
        <w:pStyle w:val="Compact"/>
      </w:pPr>
      <w:r>
        <w:t xml:space="preserve">69.011m</w:t>
      </w:r>
    </w:p>
    <w:p>
      <w:pPr>
        <w:pStyle w:val="Compact"/>
      </w:pPr>
      <w:r>
        <w:t xml:space="preserve">66.698m</w:t>
      </w:r>
    </w:p>
    <w:p>
      <w:pPr>
        <w:pStyle w:val="Compact"/>
      </w:pPr>
      <w:r>
        <w:t xml:space="preserve">58.199m</w:t>
      </w:r>
    </w:p>
    <w:p>
      <w:pPr>
        <w:pStyle w:val="Compact"/>
      </w:pPr>
      <w:r>
        <w:t xml:space="preserve">51.544m</w:t>
      </w:r>
    </w:p>
    <w:p>
      <w:pPr>
        <w:pStyle w:val="Compact"/>
      </w:pPr>
      <w:r>
        <w:t xml:space="preserve">Recurrent Revenue ($)</w:t>
      </w:r>
    </w:p>
    <w:p>
      <w:pPr>
        <w:pStyle w:val="Compact"/>
      </w:pPr>
      <w:r>
        <w:t xml:space="preserve">90.758m</w:t>
      </w:r>
      <w:r>
        <w:br w:type="textWrapping"/>
      </w:r>
    </w:p>
    <w:p>
      <w:pPr>
        <w:pStyle w:val="Compact"/>
      </w:pPr>
      <w:r>
        <w:t xml:space="preserve">85.746m</w:t>
      </w:r>
      <w:r>
        <w:br w:type="textWrapping"/>
      </w:r>
    </w:p>
    <w:p>
      <w:pPr>
        <w:pStyle w:val="Compact"/>
      </w:pPr>
      <w:r>
        <w:t xml:space="preserve">84.776m</w:t>
      </w:r>
      <w:r>
        <w:br w:type="textWrapping"/>
      </w:r>
    </w:p>
    <w:p>
      <w:pPr>
        <w:pStyle w:val="Compact"/>
      </w:pPr>
      <w:r>
        <w:t xml:space="preserve">75.928m</w:t>
      </w:r>
      <w:r>
        <w:br w:type="textWrapping"/>
      </w:r>
    </w:p>
    <w:p>
      <w:pPr>
        <w:pStyle w:val="Compact"/>
      </w:pPr>
      <w:r>
        <w:t xml:space="preserve">79.133m</w:t>
      </w:r>
      <w:r>
        <w:br w:type="textWrapping"/>
      </w:r>
    </w:p>
    <w:p>
      <w:pPr>
        <w:pStyle w:val="Compact"/>
      </w:pPr>
      <w:r>
        <w:t xml:space="preserve">71.159m</w:t>
      </w:r>
      <w:r>
        <w:br w:type="textWrapping"/>
      </w:r>
    </w:p>
    <w:p>
      <w:pPr>
        <w:pStyle w:val="Compact"/>
      </w:pPr>
      <w:r>
        <w:t xml:space="preserve">71.190m</w:t>
      </w:r>
      <w:r>
        <w:br w:type="textWrapping"/>
      </w:r>
    </w:p>
    <w:p>
      <w:pPr>
        <w:pStyle w:val="Compact"/>
      </w:pPr>
      <w:r>
        <w:t xml:space="preserve">71.650m</w:t>
      </w:r>
      <w:r>
        <w:br w:type="textWrapping"/>
      </w:r>
    </w:p>
    <w:p>
      <w:pPr>
        <w:pStyle w:val="Compact"/>
      </w:pPr>
      <w:r>
        <w:t xml:space="preserve">56.421m</w:t>
      </w:r>
      <w:r>
        <w:br w:type="textWrapping"/>
      </w:r>
    </w:p>
    <w:p>
      <w:pPr>
        <w:pStyle w:val="Compact"/>
      </w:pPr>
      <w:r>
        <w:t xml:space="preserve">55.367m</w:t>
      </w:r>
    </w:p>
    <w:p>
      <w:pPr>
        <w:pStyle w:val="Compact"/>
      </w:pPr>
      <w:r>
        <w:t xml:space="preserve">- Rates and Charges</w:t>
      </w:r>
    </w:p>
    <w:p>
      <w:pPr>
        <w:pStyle w:val="Compact"/>
      </w:pPr>
      <w:r>
        <w:t xml:space="preserve">57.204m</w:t>
      </w:r>
      <w:r>
        <w:br w:type="textWrapping"/>
      </w:r>
    </w:p>
    <w:p>
      <w:pPr>
        <w:pStyle w:val="Compact"/>
      </w:pPr>
      <w:r>
        <w:t xml:space="preserve">53.809m</w:t>
      </w:r>
      <w:r>
        <w:br w:type="textWrapping"/>
      </w:r>
    </w:p>
    <w:p>
      <w:pPr>
        <w:pStyle w:val="Compact"/>
      </w:pPr>
      <w:r>
        <w:t xml:space="preserve">51.314m</w:t>
      </w:r>
      <w:r>
        <w:br w:type="textWrapping"/>
      </w:r>
    </w:p>
    <w:p>
      <w:pPr>
        <w:pStyle w:val="Compact"/>
      </w:pPr>
      <w:r>
        <w:t xml:space="preserve">49.137m</w:t>
      </w:r>
      <w:r>
        <w:br w:type="textWrapping"/>
      </w:r>
    </w:p>
    <w:p>
      <w:pPr>
        <w:pStyle w:val="Compact"/>
      </w:pPr>
      <w:r>
        <w:t xml:space="preserve">46.848m</w:t>
      </w:r>
      <w:r>
        <w:br w:type="textWrapping"/>
      </w:r>
    </w:p>
    <w:p>
      <w:pPr>
        <w:pStyle w:val="Compact"/>
      </w:pPr>
      <w:r>
        <w:t xml:space="preserve">44.11m</w:t>
      </w:r>
      <w:r>
        <w:br w:type="textWrapping"/>
      </w:r>
    </w:p>
    <w:p>
      <w:pPr>
        <w:pStyle w:val="Compact"/>
      </w:pPr>
      <w:r>
        <w:t xml:space="preserve">41.284m</w:t>
      </w:r>
      <w:r>
        <w:br w:type="textWrapping"/>
      </w:r>
    </w:p>
    <w:p>
      <w:pPr>
        <w:pStyle w:val="Compact"/>
      </w:pPr>
      <w:r>
        <w:t xml:space="preserve">35.058m</w:t>
      </w:r>
      <w:r>
        <w:br w:type="textWrapping"/>
      </w:r>
    </w:p>
    <w:p>
      <w:pPr>
        <w:pStyle w:val="Compact"/>
      </w:pPr>
      <w:r>
        <w:t xml:space="preserve">31.535m</w:t>
      </w:r>
      <w:r>
        <w:br w:type="textWrapping"/>
      </w:r>
    </w:p>
    <w:p>
      <w:pPr>
        <w:pStyle w:val="Compact"/>
      </w:pPr>
      <w:r>
        <w:t xml:space="preserve">28.990m</w:t>
      </w:r>
    </w:p>
    <w:p>
      <w:pPr>
        <w:pStyle w:val="Compact"/>
      </w:pPr>
      <w:r>
        <w:t xml:space="preserve">- VGC Grants</w:t>
      </w:r>
    </w:p>
    <w:p>
      <w:pPr>
        <w:pStyle w:val="Compact"/>
      </w:pPr>
      <w:r>
        <w:t xml:space="preserve">9.105m</w:t>
      </w:r>
      <w:r>
        <w:br w:type="textWrapping"/>
      </w:r>
    </w:p>
    <w:p>
      <w:pPr>
        <w:pStyle w:val="Compact"/>
      </w:pPr>
      <w:r>
        <w:t xml:space="preserve">8.987m</w:t>
      </w:r>
      <w:r>
        <w:br w:type="textWrapping"/>
      </w:r>
    </w:p>
    <w:p>
      <w:pPr>
        <w:pStyle w:val="Compact"/>
      </w:pPr>
      <w:r>
        <w:t xml:space="preserve">8.646m</w:t>
      </w:r>
      <w:r>
        <w:br w:type="textWrapping"/>
      </w:r>
    </w:p>
    <w:p>
      <w:pPr>
        <w:pStyle w:val="Compact"/>
      </w:pPr>
      <w:r>
        <w:t xml:space="preserve">8.602m</w:t>
      </w:r>
      <w:r>
        <w:br w:type="textWrapping"/>
      </w:r>
    </w:p>
    <w:p>
      <w:pPr>
        <w:pStyle w:val="Compact"/>
      </w:pPr>
      <w:r>
        <w:t xml:space="preserve">8.256m</w:t>
      </w:r>
      <w:r>
        <w:br w:type="textWrapping"/>
      </w:r>
    </w:p>
    <w:p>
      <w:pPr>
        <w:pStyle w:val="Compact"/>
      </w:pPr>
      <w:r>
        <w:t xml:space="preserve">8.379m</w:t>
      </w:r>
      <w:r>
        <w:br w:type="textWrapping"/>
      </w:r>
    </w:p>
    <w:p>
      <w:pPr>
        <w:pStyle w:val="Compact"/>
      </w:pPr>
      <w:r>
        <w:t xml:space="preserve">8.087m</w:t>
      </w:r>
      <w:r>
        <w:br w:type="textWrapping"/>
      </w:r>
    </w:p>
    <w:p>
      <w:pPr>
        <w:pStyle w:val="Compact"/>
      </w:pPr>
      <w:r>
        <w:t xml:space="preserve">8.009m</w:t>
      </w:r>
      <w:r>
        <w:br w:type="textWrapping"/>
      </w:r>
    </w:p>
    <w:p>
      <w:pPr>
        <w:pStyle w:val="Compact"/>
      </w:pPr>
      <w:r>
        <w:t xml:space="preserve">7.542m</w:t>
      </w:r>
      <w:r>
        <w:br w:type="textWrapping"/>
      </w:r>
    </w:p>
    <w:p>
      <w:pPr>
        <w:pStyle w:val="Compact"/>
      </w:pPr>
      <w:r>
        <w:t xml:space="preserve">7.134m</w:t>
      </w:r>
    </w:p>
    <w:p>
      <w:pPr>
        <w:pStyle w:val="Compact"/>
      </w:pPr>
      <w:r>
        <w:t xml:space="preserve">Non-Recurrent Government Grants</w:t>
      </w:r>
      <w:r>
        <w:br w:type="textWrapping"/>
      </w:r>
    </w:p>
    <w:p>
      <w:pPr>
        <w:pStyle w:val="Compact"/>
      </w:pPr>
      <w:r>
        <w:t xml:space="preserve">9.034m</w:t>
      </w:r>
      <w:r>
        <w:br w:type="textWrapping"/>
      </w:r>
    </w:p>
    <w:p>
      <w:pPr>
        <w:pStyle w:val="Compact"/>
      </w:pPr>
      <w:r>
        <w:t xml:space="preserve">3.281m</w:t>
      </w:r>
      <w:r>
        <w:br w:type="textWrapping"/>
      </w:r>
    </w:p>
    <w:p>
      <w:pPr>
        <w:pStyle w:val="Compact"/>
      </w:pPr>
      <w:r>
        <w:t xml:space="preserve">5.931m</w:t>
      </w:r>
      <w:r>
        <w:br w:type="textWrapping"/>
      </w:r>
    </w:p>
    <w:p>
      <w:pPr>
        <w:pStyle w:val="Compact"/>
      </w:pPr>
      <w:r>
        <w:t xml:space="preserve">6.501m</w:t>
      </w:r>
      <w:r>
        <w:br w:type="textWrapping"/>
      </w:r>
    </w:p>
    <w:p>
      <w:pPr>
        <w:pStyle w:val="Compact"/>
      </w:pPr>
      <w:r>
        <w:t xml:space="preserve">9.172m</w:t>
      </w:r>
      <w:r>
        <w:br w:type="textWrapping"/>
      </w:r>
    </w:p>
    <w:p>
      <w:pPr>
        <w:pStyle w:val="Compact"/>
      </w:pPr>
      <w:r>
        <w:t xml:space="preserve">3.054m</w:t>
      </w:r>
      <w:r>
        <w:br w:type="textWrapping"/>
      </w:r>
    </w:p>
    <w:p>
      <w:pPr>
        <w:pStyle w:val="Compact"/>
      </w:pPr>
      <w:r>
        <w:t xml:space="preserve">12.358m</w:t>
      </w:r>
      <w:r>
        <w:br w:type="textWrapping"/>
      </w:r>
    </w:p>
    <w:p>
      <w:pPr>
        <w:pStyle w:val="Compact"/>
      </w:pPr>
      <w:r>
        <w:t xml:space="preserve">2.704m</w:t>
      </w:r>
      <w:r>
        <w:br w:type="textWrapping"/>
      </w:r>
    </w:p>
    <w:p>
      <w:pPr>
        <w:pStyle w:val="Compact"/>
      </w:pPr>
      <w:r>
        <w:t xml:space="preserve">6.254m</w:t>
      </w:r>
      <w:r>
        <w:br w:type="textWrapping"/>
      </w:r>
    </w:p>
    <w:p>
      <w:pPr>
        <w:pStyle w:val="Compact"/>
      </w:pPr>
      <w:r>
        <w:t xml:space="preserve">Recurrent Government Grants</w:t>
      </w:r>
      <w:r>
        <w:br w:type="textWrapping"/>
      </w:r>
    </w:p>
    <w:p>
      <w:pPr>
        <w:pStyle w:val="Compact"/>
      </w:pPr>
      <w:r>
        <w:t xml:space="preserve">13.524m</w:t>
      </w:r>
      <w:r>
        <w:br w:type="textWrapping"/>
      </w:r>
    </w:p>
    <w:p>
      <w:pPr>
        <w:pStyle w:val="Compact"/>
      </w:pPr>
      <w:r>
        <w:t xml:space="preserve">15.001m</w:t>
      </w:r>
      <w:r>
        <w:br w:type="textWrapping"/>
      </w:r>
    </w:p>
    <w:p>
      <w:pPr>
        <w:pStyle w:val="Compact"/>
      </w:pPr>
      <w:r>
        <w:t xml:space="preserve">22.213m</w:t>
      </w:r>
      <w:r>
        <w:br w:type="textWrapping"/>
      </w:r>
    </w:p>
    <w:p>
      <w:pPr>
        <w:pStyle w:val="Compact"/>
      </w:pPr>
      <w:r>
        <w:t xml:space="preserve">12.907m</w:t>
      </w:r>
      <w:r>
        <w:br w:type="textWrapping"/>
      </w:r>
    </w:p>
    <w:p>
      <w:pPr>
        <w:pStyle w:val="Compact"/>
      </w:pPr>
      <w:r>
        <w:t xml:space="preserve">6.333m</w:t>
      </w:r>
      <w:r>
        <w:br w:type="textWrapping"/>
      </w:r>
    </w:p>
    <w:p>
      <w:pPr>
        <w:pStyle w:val="Compact"/>
      </w:pPr>
      <w:r>
        <w:t xml:space="preserve">6.347m</w:t>
      </w:r>
      <w:r>
        <w:br w:type="textWrapping"/>
      </w:r>
    </w:p>
    <w:p>
      <w:pPr>
        <w:pStyle w:val="Compact"/>
      </w:pPr>
      <w:r>
        <w:t xml:space="preserve">11.136m</w:t>
      </w:r>
      <w:r>
        <w:br w:type="textWrapping"/>
      </w:r>
    </w:p>
    <w:p>
      <w:pPr>
        <w:pStyle w:val="Compact"/>
      </w:pPr>
      <w:r>
        <w:t xml:space="preserve">5.489m</w:t>
      </w:r>
      <w:r>
        <w:br w:type="textWrapping"/>
      </w:r>
    </w:p>
    <w:p>
      <w:pPr>
        <w:pStyle w:val="Compact"/>
      </w:pPr>
      <w:r>
        <w:t xml:space="preserve">6.342m</w:t>
      </w:r>
      <w:r>
        <w:br w:type="textWrapping"/>
      </w:r>
    </w:p>
    <w:p>
      <w:pPr>
        <w:pStyle w:val="Compact"/>
      </w:pPr>
      <w:r>
        <w:t xml:space="preserve">5.412m</w:t>
      </w:r>
      <w:r>
        <w:br w:type="textWrapping"/>
      </w:r>
    </w:p>
    <w:sectPr w:rsidR="000B1BB4" w:rsidRPr="000B1BB4" w:rsidSect="00D65D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News Gothic MT">
    <w:panose1 w:val="020B0504020203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1f0a091b"/>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dba9491d"/>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B4"/>
    <w:pPr>
      <w:spacing w:before="120" w:after="120"/>
    </w:pPr>
    <w:rPr>
      <w:rFonts w:ascii="Avenir Book" w:hAnsi="Avenir Book"/>
      <w:color w:val="28384B"/>
      <w:lang w:val="en-AU"/>
    </w:rPr>
  </w:style>
  <w:style w:type="paragraph" w:styleId="Heading1">
    <w:name w:val="heading 1"/>
    <w:basedOn w:val="Normal"/>
    <w:next w:val="Normal"/>
    <w:link w:val="Heading1Char"/>
    <w:uiPriority w:val="9"/>
    <w:qFormat/>
    <w:rsid w:val="000B1BB4"/>
    <w:pPr>
      <w:keepNext/>
      <w:keepLines/>
      <w:spacing w:before="480" w:after="0"/>
      <w:outlineLvl w:val="0"/>
    </w:pPr>
    <w:rPr>
      <w:rFonts w:ascii="News Gothic MT" w:eastAsiaTheme="majorEastAsia" w:hAnsi="News Gothic MT" w:cstheme="majorBidi"/>
      <w:b/>
      <w:bCs/>
      <w:color w:val="212F3E"/>
      <w:sz w:val="32"/>
      <w:szCs w:val="32"/>
    </w:rPr>
  </w:style>
  <w:style w:type="paragraph" w:styleId="Heading2">
    <w:name w:val="heading 2"/>
    <w:basedOn w:val="Normal"/>
    <w:next w:val="Normal"/>
    <w:link w:val="Heading2Char"/>
    <w:uiPriority w:val="9"/>
    <w:unhideWhenUsed/>
    <w:qFormat/>
    <w:rsid w:val="000B1BB4"/>
    <w:pPr>
      <w:keepNext/>
      <w:keepLines/>
      <w:spacing w:before="200"/>
      <w:outlineLvl w:val="1"/>
    </w:pPr>
    <w:rPr>
      <w:rFonts w:ascii="Avenir Black" w:eastAsiaTheme="majorEastAsia" w:hAnsi="Avenir Black"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B4"/>
    <w:rPr>
      <w:rFonts w:ascii="News Gothic MT" w:eastAsiaTheme="majorEastAsia" w:hAnsi="News Gothic MT" w:cstheme="majorBidi"/>
      <w:b/>
      <w:bCs/>
      <w:color w:val="212F3E"/>
      <w:sz w:val="32"/>
      <w:szCs w:val="32"/>
      <w:lang w:val="en-AU"/>
    </w:rPr>
  </w:style>
  <w:style w:type="character" w:customStyle="1" w:styleId="Heading2Char">
    <w:name w:val="Heading 2 Char"/>
    <w:basedOn w:val="DefaultParagraphFont"/>
    <w:link w:val="Heading2"/>
    <w:uiPriority w:val="9"/>
    <w:rsid w:val="000B1BB4"/>
    <w:rPr>
      <w:rFonts w:ascii="Avenir Black" w:eastAsiaTheme="majorEastAsia" w:hAnsi="Avenir Black" w:cstheme="majorBidi"/>
      <w:b/>
      <w:bCs/>
      <w:color w:val="28384B"/>
      <w:sz w:val="26"/>
      <w:szCs w:val="26"/>
      <w:lang w:val="en-AU"/>
    </w:rPr>
  </w:style>
  <w:style w:type="paragraph" w:styleId="Title">
    <w:name w:val="Title"/>
    <w:basedOn w:val="Normal"/>
    <w:next w:val="Normal"/>
    <w:link w:val="TitleChar"/>
    <w:uiPriority w:val="10"/>
    <w:qFormat/>
    <w:rsid w:val="005457E9"/>
    <w:pPr>
      <w:pBdr>
        <w:bottom w:val="single" w:sz="8" w:space="4" w:color="4F81BD" w:themeColor="accent1"/>
      </w:pBdr>
      <w:spacing w:before="0" w:after="300"/>
      <w:contextualSpacing/>
    </w:pPr>
    <w:rPr>
      <w:rFonts w:eastAsiaTheme="majorEastAsia" w:cstheme="majorBidi"/>
      <w:color w:val="000000"/>
      <w:spacing w:val="5"/>
      <w:kern w:val="28"/>
      <w:sz w:val="52"/>
      <w:szCs w:val="52"/>
    </w:rPr>
  </w:style>
  <w:style w:type="character" w:customStyle="1" w:styleId="TitleChar">
    <w:name w:val="Title Char"/>
    <w:basedOn w:val="DefaultParagraphFont"/>
    <w:link w:val="Title"/>
    <w:uiPriority w:val="10"/>
    <w:rsid w:val="005457E9"/>
    <w:rPr>
      <w:rFonts w:ascii="Arial" w:eastAsiaTheme="majorEastAsia" w:hAnsi="Arial" w:cstheme="majorBidi"/>
      <w:color w:val="000000"/>
      <w:spacing w:val="5"/>
      <w:kern w:val="28"/>
      <w:sz w:val="52"/>
      <w:szCs w:val="52"/>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5" Target="media/rId25.png" /><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wbawshire.vic.gov.au" TargetMode="External" /><Relationship Type="http://schemas.openxmlformats.org/officeDocument/2006/relationships/hyperlink" Id="rId43" Target="http://www.bawbawshire.vic.gov.au/About-Council/Publications-and-Policies/Our-Performance/Annual-Report" TargetMode="External" /><Relationship Type="http://schemas.openxmlformats.org/officeDocument/2006/relationships/hyperlink" Id="rId41" Target="http://www.bawbawshire.vic.gov.au/About-Council/Publications-and-Policies/Our-Performance/Community-Satisfaction-Survey?BestBetMatch=community%20satisfaction%20survey%7Cd13b95b2-5146-4b00-9e3e-a80c73739a64%7C4f05f368-ecaa-4a93-b749-7ad6c4867c1f%7Cen-AU" TargetMode="External" /><Relationship Type="http://schemas.openxmlformats.org/officeDocument/2006/relationships/hyperlink" Id="rId31" Target="http://www.bawbawshire.vic.gov.au/Our-Community"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37" Target="http://www.maggolee.org.au/wp-content/uploads/2015/09/LGA-Profile-Final-Baw-Baw.pdf" TargetMode="External" /><Relationship Type="http://schemas.openxmlformats.org/officeDocument/2006/relationships/hyperlink" Id="rId35" Target="http://www.planning.vic.gov.au/__data/assets/pdf_file/0015/11445/Baw_Baw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w-baw" TargetMode="External" /><Relationship Type="http://schemas.openxmlformats.org/officeDocument/2006/relationships/hyperlink" Id="rId29" Target="mailto:bawbaw@bawbawshire.vic.gov.au" TargetMode="External" /></Relationships>
</file>

<file path=word/_rels/footnotes.xml.rels><?xml version="1.0" encoding="UTF-8"?>
<Relationships xmlns="http://schemas.openxmlformats.org/package/2006/relationships"><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wbawshire.vic.gov.au" TargetMode="External" /><Relationship Type="http://schemas.openxmlformats.org/officeDocument/2006/relationships/hyperlink" Id="rId43" Target="http://www.bawbawshire.vic.gov.au/About-Council/Publications-and-Policies/Our-Performance/Annual-Report" TargetMode="External" /><Relationship Type="http://schemas.openxmlformats.org/officeDocument/2006/relationships/hyperlink" Id="rId41" Target="http://www.bawbawshire.vic.gov.au/About-Council/Publications-and-Policies/Our-Performance/Community-Satisfaction-Survey?BestBetMatch=community%20satisfaction%20survey%7Cd13b95b2-5146-4b00-9e3e-a80c73739a64%7C4f05f368-ecaa-4a93-b749-7ad6c4867c1f%7Cen-AU" TargetMode="External" /><Relationship Type="http://schemas.openxmlformats.org/officeDocument/2006/relationships/hyperlink" Id="rId31" Target="http://www.bawbawshire.vic.gov.au/Our-Community"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37" Target="http://www.maggolee.org.au/wp-content/uploads/2015/09/LGA-Profile-Final-Baw-Baw.pdf" TargetMode="External" /><Relationship Type="http://schemas.openxmlformats.org/officeDocument/2006/relationships/hyperlink" Id="rId35" Target="http://www.planning.vic.gov.au/__data/assets/pdf_file/0015/11445/Baw_Baw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w-baw" TargetMode="External" /><Relationship Type="http://schemas.openxmlformats.org/officeDocument/2006/relationships/hyperlink" Id="rId29" Target="mailto:bawbaw@bawbawshire.vic.gov.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Company>Ladoo</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